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8"/>
        <w:gridCol w:w="903"/>
        <w:gridCol w:w="998"/>
        <w:gridCol w:w="1096"/>
        <w:gridCol w:w="799"/>
        <w:gridCol w:w="5724"/>
        <w:gridCol w:w="1107"/>
        <w:gridCol w:w="799"/>
        <w:gridCol w:w="1974"/>
      </w:tblGrid>
      <w:tr w14:paraId="45D1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0" w:hRule="atLeast"/>
          <w:tblCellSpacing w:w="15" w:type="dxa"/>
        </w:trPr>
        <w:tc>
          <w:tcPr>
            <w:tcW w:w="4978" w:type="pct"/>
            <w:gridSpan w:val="9"/>
            <w:tcBorders>
              <w:top w:val="nil"/>
              <w:left w:val="nil"/>
              <w:bottom w:val="single" w:color="auto" w:sz="6" w:space="0"/>
              <w:right w:val="nil"/>
            </w:tcBorders>
            <w:shd w:val="clear"/>
            <w:tcMar>
              <w:left w:w="105" w:type="dxa"/>
              <w:right w:w="105" w:type="dxa"/>
            </w:tcMar>
            <w:vAlign w:val="center"/>
          </w:tcPr>
          <w:p w14:paraId="6BD0F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ascii="方正小标宋简体" w:hAnsi="方正小标宋简体" w:eastAsia="方正小标宋简体" w:cs="方正小标宋简体"/>
                <w:color w:val="313131"/>
                <w:sz w:val="36"/>
                <w:szCs w:val="36"/>
                <w:bdr w:val="none" w:color="auto" w:sz="0" w:space="0"/>
              </w:rPr>
            </w:pPr>
            <w:bookmarkStart w:id="0" w:name="_GoBack"/>
            <w:r>
              <w:rPr>
                <w:rFonts w:ascii="方正小标宋简体" w:hAnsi="方正小标宋简体" w:eastAsia="方正小标宋简体" w:cs="方正小标宋简体"/>
                <w:color w:val="313131"/>
                <w:sz w:val="36"/>
                <w:szCs w:val="36"/>
                <w:bdr w:val="none" w:color="auto" w:sz="0" w:space="0"/>
              </w:rPr>
              <w:t>国家知识产权局专利局专利审查协作四川中心</w:t>
            </w:r>
          </w:p>
          <w:p w14:paraId="67D56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ascii="微软雅黑" w:hAnsi="微软雅黑" w:eastAsia="微软雅黑" w:cs="微软雅黑"/>
                <w:color w:val="313131"/>
                <w:sz w:val="21"/>
                <w:szCs w:val="21"/>
              </w:rPr>
            </w:pPr>
            <w:r>
              <w:rPr>
                <w:rFonts w:ascii="方正小标宋简体" w:hAnsi="方正小标宋简体" w:eastAsia="方正小标宋简体" w:cs="方正小标宋简体"/>
                <w:color w:val="313131"/>
                <w:sz w:val="36"/>
                <w:szCs w:val="36"/>
                <w:bdr w:val="none" w:color="auto" w:sz="0" w:space="0"/>
              </w:rPr>
              <w:t>2026年度专利审查员公开招聘岗位信息表</w:t>
            </w:r>
            <w:bookmarkEnd w:id="0"/>
          </w:p>
        </w:tc>
      </w:tr>
      <w:tr w14:paraId="035B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80" w:type="pct"/>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2A1C1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ascii="仿宋_GB2312" w:hAnsi="微软雅黑" w:eastAsia="仿宋_GB2312" w:cs="仿宋_GB2312"/>
                <w:color w:val="313131"/>
                <w:sz w:val="22"/>
                <w:szCs w:val="22"/>
                <w:bdr w:val="none" w:color="auto" w:sz="0" w:space="0"/>
              </w:rPr>
              <w:t>序号</w:t>
            </w:r>
          </w:p>
        </w:tc>
        <w:tc>
          <w:tcPr>
            <w:tcW w:w="312" w:type="pct"/>
            <w:vMerge w:val="restart"/>
            <w:tcBorders>
              <w:top w:val="nil"/>
              <w:left w:val="nil"/>
              <w:bottom w:val="single" w:color="auto" w:sz="6" w:space="0"/>
              <w:right w:val="single" w:color="auto" w:sz="6" w:space="0"/>
            </w:tcBorders>
            <w:shd w:val="clear"/>
            <w:tcMar>
              <w:left w:w="105" w:type="dxa"/>
              <w:right w:w="105" w:type="dxa"/>
            </w:tcMar>
            <w:vAlign w:val="center"/>
          </w:tcPr>
          <w:p w14:paraId="05A7E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工作部门</w:t>
            </w:r>
          </w:p>
        </w:tc>
        <w:tc>
          <w:tcPr>
            <w:tcW w:w="346" w:type="pct"/>
            <w:vMerge w:val="restart"/>
            <w:tcBorders>
              <w:top w:val="nil"/>
              <w:left w:val="nil"/>
              <w:bottom w:val="single" w:color="auto" w:sz="6" w:space="0"/>
              <w:right w:val="single" w:color="auto" w:sz="6" w:space="0"/>
            </w:tcBorders>
            <w:shd w:val="clear"/>
            <w:tcMar>
              <w:left w:w="105" w:type="dxa"/>
              <w:right w:w="105" w:type="dxa"/>
            </w:tcMar>
            <w:vAlign w:val="center"/>
          </w:tcPr>
          <w:p w14:paraId="77886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default" w:ascii="仿宋_GB2312" w:hAnsi="微软雅黑" w:eastAsia="仿宋_GB2312" w:cs="仿宋_GB2312"/>
                <w:color w:val="313131"/>
                <w:sz w:val="22"/>
                <w:szCs w:val="22"/>
                <w:bdr w:val="none" w:color="auto" w:sz="0" w:space="0"/>
              </w:rPr>
            </w:pPr>
            <w:r>
              <w:rPr>
                <w:rFonts w:hint="default" w:ascii="仿宋_GB2312" w:hAnsi="微软雅黑" w:eastAsia="仿宋_GB2312" w:cs="仿宋_GB2312"/>
                <w:color w:val="313131"/>
                <w:sz w:val="22"/>
                <w:szCs w:val="22"/>
                <w:bdr w:val="none" w:color="auto" w:sz="0" w:space="0"/>
              </w:rPr>
              <w:t>招聘</w:t>
            </w:r>
          </w:p>
          <w:p w14:paraId="5144A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岗位</w:t>
            </w:r>
          </w:p>
        </w:tc>
        <w:tc>
          <w:tcPr>
            <w:tcW w:w="381" w:type="pct"/>
            <w:vMerge w:val="restart"/>
            <w:tcBorders>
              <w:top w:val="nil"/>
              <w:left w:val="nil"/>
              <w:bottom w:val="single" w:color="auto" w:sz="6" w:space="0"/>
              <w:right w:val="single" w:color="auto" w:sz="6" w:space="0"/>
            </w:tcBorders>
            <w:shd w:val="clear"/>
            <w:tcMar>
              <w:left w:w="105" w:type="dxa"/>
              <w:right w:w="105" w:type="dxa"/>
            </w:tcMar>
            <w:vAlign w:val="center"/>
          </w:tcPr>
          <w:p w14:paraId="2D3492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default" w:ascii="仿宋_GB2312" w:hAnsi="微软雅黑" w:eastAsia="仿宋_GB2312" w:cs="仿宋_GB2312"/>
                <w:color w:val="313131"/>
                <w:sz w:val="22"/>
                <w:szCs w:val="22"/>
                <w:bdr w:val="none" w:color="auto" w:sz="0" w:space="0"/>
              </w:rPr>
            </w:pPr>
            <w:r>
              <w:rPr>
                <w:rFonts w:hint="default" w:ascii="仿宋_GB2312" w:hAnsi="微软雅黑" w:eastAsia="仿宋_GB2312" w:cs="仿宋_GB2312"/>
                <w:color w:val="313131"/>
                <w:sz w:val="22"/>
                <w:szCs w:val="22"/>
                <w:bdr w:val="none" w:color="auto" w:sz="0" w:space="0"/>
              </w:rPr>
              <w:t>主要</w:t>
            </w:r>
          </w:p>
          <w:p w14:paraId="0894C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职责</w:t>
            </w:r>
          </w:p>
        </w:tc>
        <w:tc>
          <w:tcPr>
            <w:tcW w:w="275" w:type="pct"/>
            <w:vMerge w:val="restart"/>
            <w:tcBorders>
              <w:top w:val="nil"/>
              <w:left w:val="nil"/>
              <w:bottom w:val="single" w:color="auto" w:sz="6" w:space="0"/>
              <w:right w:val="single" w:color="auto" w:sz="6" w:space="0"/>
            </w:tcBorders>
            <w:shd w:val="clear"/>
            <w:tcMar>
              <w:left w:w="105" w:type="dxa"/>
              <w:right w:w="105" w:type="dxa"/>
            </w:tcMar>
            <w:vAlign w:val="center"/>
          </w:tcPr>
          <w:p w14:paraId="0AD4C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default" w:ascii="仿宋_GB2312" w:hAnsi="微软雅黑" w:eastAsia="仿宋_GB2312" w:cs="仿宋_GB2312"/>
                <w:color w:val="313131"/>
                <w:sz w:val="22"/>
                <w:szCs w:val="22"/>
                <w:bdr w:val="none" w:color="auto" w:sz="0" w:space="0"/>
              </w:rPr>
            </w:pPr>
            <w:r>
              <w:rPr>
                <w:rFonts w:hint="default" w:ascii="仿宋_GB2312" w:hAnsi="微软雅黑" w:eastAsia="仿宋_GB2312" w:cs="仿宋_GB2312"/>
                <w:color w:val="313131"/>
                <w:sz w:val="22"/>
                <w:szCs w:val="22"/>
                <w:bdr w:val="none" w:color="auto" w:sz="0" w:space="0"/>
              </w:rPr>
              <w:t>招聘</w:t>
            </w:r>
          </w:p>
          <w:p w14:paraId="70412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人数</w:t>
            </w:r>
          </w:p>
        </w:tc>
        <w:tc>
          <w:tcPr>
            <w:tcW w:w="3330" w:type="pct"/>
            <w:gridSpan w:val="4"/>
            <w:tcBorders>
              <w:top w:val="nil"/>
              <w:left w:val="nil"/>
              <w:bottom w:val="single" w:color="auto" w:sz="6" w:space="0"/>
              <w:right w:val="single" w:color="auto" w:sz="6" w:space="0"/>
            </w:tcBorders>
            <w:shd w:val="clear"/>
            <w:tcMar>
              <w:left w:w="105" w:type="dxa"/>
              <w:right w:w="105" w:type="dxa"/>
            </w:tcMar>
            <w:vAlign w:val="center"/>
          </w:tcPr>
          <w:p w14:paraId="3994A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岗位条件</w:t>
            </w:r>
          </w:p>
        </w:tc>
      </w:tr>
      <w:tr w14:paraId="2C48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80"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67F5BF4">
            <w:pPr>
              <w:jc w:val="center"/>
              <w:rPr>
                <w:rFonts w:hint="eastAsia" w:ascii="宋体"/>
                <w:sz w:val="24"/>
                <w:szCs w:val="24"/>
              </w:rPr>
            </w:pPr>
          </w:p>
        </w:tc>
        <w:tc>
          <w:tcPr>
            <w:tcW w:w="312" w:type="pct"/>
            <w:vMerge w:val="continue"/>
            <w:tcBorders>
              <w:top w:val="nil"/>
              <w:left w:val="nil"/>
              <w:bottom w:val="single" w:color="auto" w:sz="6" w:space="0"/>
              <w:right w:val="single" w:color="auto" w:sz="6" w:space="0"/>
            </w:tcBorders>
            <w:shd w:val="clear"/>
            <w:tcMar>
              <w:left w:w="105" w:type="dxa"/>
              <w:right w:w="105" w:type="dxa"/>
            </w:tcMar>
            <w:vAlign w:val="center"/>
          </w:tcPr>
          <w:p w14:paraId="1D771D34">
            <w:pPr>
              <w:jc w:val="center"/>
              <w:rPr>
                <w:rFonts w:hint="eastAsia" w:ascii="宋体"/>
                <w:sz w:val="24"/>
                <w:szCs w:val="24"/>
              </w:rPr>
            </w:pPr>
          </w:p>
        </w:tc>
        <w:tc>
          <w:tcPr>
            <w:tcW w:w="346" w:type="pct"/>
            <w:vMerge w:val="continue"/>
            <w:tcBorders>
              <w:top w:val="nil"/>
              <w:left w:val="nil"/>
              <w:bottom w:val="single" w:color="auto" w:sz="6" w:space="0"/>
              <w:right w:val="single" w:color="auto" w:sz="6" w:space="0"/>
            </w:tcBorders>
            <w:shd w:val="clear"/>
            <w:tcMar>
              <w:left w:w="105" w:type="dxa"/>
              <w:right w:w="105" w:type="dxa"/>
            </w:tcMar>
            <w:vAlign w:val="center"/>
          </w:tcPr>
          <w:p w14:paraId="4A0BEB72">
            <w:pPr>
              <w:jc w:val="center"/>
              <w:rPr>
                <w:rFonts w:hint="eastAsia" w:ascii="宋体"/>
                <w:sz w:val="24"/>
                <w:szCs w:val="24"/>
              </w:rPr>
            </w:pPr>
          </w:p>
        </w:tc>
        <w:tc>
          <w:tcPr>
            <w:tcW w:w="381" w:type="pct"/>
            <w:vMerge w:val="continue"/>
            <w:tcBorders>
              <w:top w:val="nil"/>
              <w:left w:val="nil"/>
              <w:bottom w:val="single" w:color="auto" w:sz="6" w:space="0"/>
              <w:right w:val="single" w:color="auto" w:sz="6" w:space="0"/>
            </w:tcBorders>
            <w:shd w:val="clear"/>
            <w:tcMar>
              <w:left w:w="105" w:type="dxa"/>
              <w:right w:w="105" w:type="dxa"/>
            </w:tcMar>
            <w:vAlign w:val="center"/>
          </w:tcPr>
          <w:p w14:paraId="50B1D09C">
            <w:pPr>
              <w:jc w:val="center"/>
              <w:rPr>
                <w:rFonts w:hint="eastAsia" w:ascii="宋体"/>
                <w:sz w:val="24"/>
                <w:szCs w:val="24"/>
              </w:rPr>
            </w:pPr>
          </w:p>
        </w:tc>
        <w:tc>
          <w:tcPr>
            <w:tcW w:w="275" w:type="pct"/>
            <w:vMerge w:val="continue"/>
            <w:tcBorders>
              <w:top w:val="nil"/>
              <w:left w:val="nil"/>
              <w:bottom w:val="single" w:color="auto" w:sz="6" w:space="0"/>
              <w:right w:val="single" w:color="auto" w:sz="6" w:space="0"/>
            </w:tcBorders>
            <w:shd w:val="clear"/>
            <w:tcMar>
              <w:left w:w="105" w:type="dxa"/>
              <w:right w:w="105" w:type="dxa"/>
            </w:tcMar>
            <w:vAlign w:val="center"/>
          </w:tcPr>
          <w:p w14:paraId="59315FEA">
            <w:pPr>
              <w:jc w:val="center"/>
              <w:rPr>
                <w:rFonts w:hint="eastAsia" w:ascii="宋体"/>
                <w:sz w:val="24"/>
                <w:szCs w:val="24"/>
              </w:rPr>
            </w:pP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3941E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专业及代码</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0294E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default" w:ascii="仿宋_GB2312" w:hAnsi="微软雅黑" w:eastAsia="仿宋_GB2312" w:cs="仿宋_GB2312"/>
                <w:color w:val="313131"/>
                <w:sz w:val="22"/>
                <w:szCs w:val="22"/>
                <w:bdr w:val="none" w:color="auto" w:sz="0" w:space="0"/>
              </w:rPr>
            </w:pPr>
            <w:r>
              <w:rPr>
                <w:rFonts w:hint="default" w:ascii="仿宋_GB2312" w:hAnsi="微软雅黑" w:eastAsia="仿宋_GB2312" w:cs="仿宋_GB2312"/>
                <w:color w:val="313131"/>
                <w:sz w:val="22"/>
                <w:szCs w:val="22"/>
                <w:bdr w:val="none" w:color="auto" w:sz="0" w:space="0"/>
              </w:rPr>
              <w:t>学历</w:t>
            </w:r>
          </w:p>
          <w:p w14:paraId="17133F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610FD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default" w:ascii="仿宋_GB2312" w:hAnsi="微软雅黑" w:eastAsia="仿宋_GB2312" w:cs="仿宋_GB2312"/>
                <w:color w:val="313131"/>
                <w:sz w:val="22"/>
                <w:szCs w:val="22"/>
                <w:bdr w:val="none" w:color="auto" w:sz="0" w:space="0"/>
              </w:rPr>
            </w:pPr>
            <w:r>
              <w:rPr>
                <w:rFonts w:hint="default" w:ascii="仿宋_GB2312" w:hAnsi="微软雅黑" w:eastAsia="仿宋_GB2312" w:cs="仿宋_GB2312"/>
                <w:color w:val="313131"/>
                <w:sz w:val="22"/>
                <w:szCs w:val="22"/>
                <w:bdr w:val="none" w:color="auto" w:sz="0" w:space="0"/>
              </w:rPr>
              <w:t>政治</w:t>
            </w:r>
          </w:p>
          <w:p w14:paraId="45DD1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面貌</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07EEB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其他条件</w:t>
            </w:r>
          </w:p>
        </w:tc>
      </w:tr>
      <w:tr w14:paraId="596B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298A4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1</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226BD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机械发明审查部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0D6FF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S101智能车辆</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3685B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负责智能车辆相关技术领域发明专利申请实质审查工作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2E3D1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2</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4A2D4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车辆工程（080207）、智能车辆工程（080214T）、新能源汽车工程（080216T）、机械设计制造及其自动化（080202），机械工程（0802）、机械（0855）等相关专业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6D0B9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06F93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573CB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微软雅黑" w:hAnsi="微软雅黑" w:eastAsia="微软雅黑" w:cs="微软雅黑"/>
                <w:color w:val="313131"/>
                <w:sz w:val="21"/>
                <w:szCs w:val="21"/>
              </w:rPr>
            </w:pPr>
            <w:r>
              <w:rPr>
                <w:rFonts w:hint="default" w:ascii="仿宋_GB2312" w:hAnsi="微软雅黑" w:eastAsia="仿宋_GB2312" w:cs="仿宋_GB2312"/>
                <w:color w:val="313131"/>
                <w:sz w:val="22"/>
                <w:szCs w:val="22"/>
                <w:bdr w:val="none" w:color="auto" w:sz="0" w:space="0"/>
              </w:rPr>
              <w:t>应届毕业生应于2026年8月前取得毕业证、学位证。</w:t>
            </w:r>
          </w:p>
          <w:p w14:paraId="27A6D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color w:val="313131"/>
                <w:sz w:val="21"/>
                <w:szCs w:val="21"/>
              </w:rPr>
            </w:pPr>
          </w:p>
        </w:tc>
      </w:tr>
      <w:tr w14:paraId="193A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199B4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2</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6F7F1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电学发明审查部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44C98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S201半导体及集成电路</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10CAD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负责半导体及集成电路相关技术领域发明专利申请实质审查工作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299E5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3</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2C69C4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物理学（070201）、应用物理学（070202）、化学（070301）、应用化学（070302）、材料科学与工程（080401）、材料物理（080402）、材料化学（080403）、高分子材料与工程（080407）、复合材料与工程（080408）、功能材料（080412T）、光电信息材料与器件（080418T）、电子信息材料（080421T）、电子信息工程（080701）、电子科学与技术（080702）、微电子科学与工程（080704）、光电信息科学与工程（080705）、电子封装技术（080709T）、集成电路设计与集成系统（080710T）、电子信息科学与技术（080714T）、柔性电子学（080719T），物理学（0702）、化学（0703）、材料科学与工程（0805）、电子科学与技术（0809）、电子信息（0854）、材料与化工（0856）、集成电路科学与工程（1401）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33408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3688F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60CB0C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1C18A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02C9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49C29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3</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274B9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电学发明审查部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6892C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S202电力电气</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2E58C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负责电力电气相关技术领域发明专利申请实质审查工作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2F0FD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2</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54F8E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电气工程及其自动化（080601）、智能电网信息工程（080602T）、电气工程与智能控制（080604T）、能源互联网工程（080607T）、智慧能源工程（080608TK）、电机电器智能化（080605T）、电动载运工程（080609T）、光源与照明（080603T）、大功率半导体科学与工程（080610TK）、电子科学与技术（080702）、电子信息科学与技术（080714T）、智能测控工程（080720T）、储能科学与工程（080504T）、能源与动力工程（080501）、新能源科学与工程（080503T）、可持续能源（080507TK），电气工程（0808）、电子科学与技术（0809）、信息与通信工程（0810）、控制科学与工程（0811）、电子信息（0854）、能源动力（0858）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5358F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08B996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19C20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633BB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6D0D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3EDE1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4</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17B1D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电学发明审查部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10E15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S203计算机相关技术</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1EFEB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负责计算机相关技术领域发明专利申请实质审查工作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44150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13</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2F9B5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人工智能（080717T）、计算机科学与技术（080901）、通信工程（080703）、电子信息工程（080701）、电子科学与技术（080702）、智能科学与技术（080907T）、遥感科学与技术（081202）、医学信息工程（080711T）、数学与应用数学（070101）、数字媒体技术（080906）、软件工程（080902）、电子与计算机工程（080909T）、数据科学与大数据技术（080910T）、虚拟现实技术（080916T），计算机科学与技术（0812）、信息与通信工程（0810）、电子科学与技术（0809）、生物医学工程（0831）、遥感科学与技术（1404）、智能科学与技术（1405）、电子信息（0854）、数学（0701）、软件工程（0835）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37902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52CCE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76EC4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73C6B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0EB4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559FF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5</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0A39E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化学发明审查部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2AC17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S501化学电池</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615E4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负责化学电池相关技术领域发明专利申请实质审查工作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7AC4E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2</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46BD6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能源化学（070305T）、材料科学与工程（080401）、材料物理（080402）、材料化学（080403）、新能源材料与器件（080414T）、新能源科学与工程（080503T）、储能科学与工程（080504T）、能源化学工程（081304T），材料科学与工程（0805）、化学工程与技术（0817）、材料与化工（0856）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502BB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6579E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1A55D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5AC79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64BE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2ABEB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6</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04D0F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化学发明审查部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6D3E2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S502有机化学</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5F70E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负责有机化学相关技术领域发明专利申请实质审查工作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7296B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1</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2DC9F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化学（070301）、应用化学（070302）、化学生物学（070303T）、分子科学与工程（070304T）、化学工程与工艺（081301）、制药工程（081302）、精细化工（081308T）、药物化学（100706T），化学（0703）、化学工程与技术（0817）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46CF1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1ED623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4DD68E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33BDE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7053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149FE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7</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50788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化学发明审查部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2953A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S503晶体</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55FE2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负责晶体相关技术领域发明专利申请实质审查工作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0BB85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3</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7792E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化学（070301）、应用化学（070302）、材料科学与工程（080401）、材料物理（080402）、材料化学（080403）、无机非金属材料工程（080406）、粉体材料科学与工程（080409T）、宝石及材料工艺学（080410T）、功能材料（080412T）、化学工程与工艺（081301），化学（0703）、材料科学与工程（0805）、化学工程与技术（0817）、材料与化工（0856）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610B7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11FCC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71FD1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336DA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1727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60291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8</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3B0EC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光电技术发明审查部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0D71F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S601动力测试</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4D624A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负责动力测试相关技术领域发明专利申请实质审查工作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13A3F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2</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0976D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机械工程（080201）、机械设计制造及其自动化（080202）、机械电子工程（080204）、车辆工程（080207）、智能制造工程（080213T）、智能车辆工程（080214T）、新能源汽车工程（080216T）、测控技术与仪器（080301）、精密仪器（080302T）、能源与动力工程（080501）、新能源科学与工程（080503T）、智能测控工程（080720T）、航空航天工程（082001）、飞行器设计与工程（082002）、飞行器制造工程（082003）、飞行器动力工程（082004）、机器人工程（080803T）、过程装备与控制工程（080206）、智能感知工程（080303T）、工业智能（080807T），机械工程（0802）、光学工程（0803）、仪器科学与技术（0804）、动力工程及工程热物理（0807）、航空宇航科学与技术（0825）、机械（0855）、能源动力（0858）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14E88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24D80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3310C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17B38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06F4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78777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9</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7A33E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光电技术发明审查部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01D84D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S602电子电气与自动化</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4594C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负责电子电气与自动化相关技术领域发明专利申请实质审查工作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44E0F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3</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21D9DD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机械电子工程（080204）、过程装备与控制工程（080206）、智能制造工程（080213T）、测控技术与仪器（080301）、精密仪器（080302T）、智能感知工程（080303T）、电气工程及其自动化（080601）、智能电网信息工程（080602T）、电气工程与智能控制（080604T）、电机电器智能化（080605T）、电缆工程（080606T）、电子信息工程（080701）、电子科学与技术（080702）、微电子科学与工程（080704）、光电信息科学与工程（080705）、信息工程（080706）、集成电路设计与集成系统（080710T）、电磁场与无线技术（080712T）、电波传播与天线（080713T）、电子信息科学与技术（080714T）、人工智能（080717T）、智能测控工程（080720T）、自动化（080801）、轨道交通信号与控制（080802T）、机器人工程（080803T）、智能装备与系统（080806T）、工业智能（080807T）、物联网工程（080905）、智能科学与技术（080907T）、飞行器控制与信息工程（082008T）、无人驾驶航空器系统工程（082009T）、智能飞行器技术（082010T）、智能无人系统技术（082108T）、未来机器人（083201TK），仪器科学与技术（0804）、电气工程（0808）、电子科学与技术（0809）、控制科学与工程（0811）、航空宇航科学与技术（0825）、电子信息（0854）、集成电路科学与工程（1401）、智能科学与技术（1405）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2DB0D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33E46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47473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0B074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7812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645F33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10</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14519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光电技术发明审查部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47C57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S603导航定位</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0FDE18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负责导航定位相关技术领域发明专利申请实质审查工作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0F90D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1</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16428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空间科学与技术（070802）、水声工程（080708T）、电磁场与无线技术（080712T）、电波传播与天线（080713T）、海洋信息工程（080718T）、导航工程（081203T）、探测制导与控制技术（082103），电子科学与技术（0809）、测绘科学与技术（0816）、航空宇航科学与技术（0825）、兵器科学与技术（0826）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1ED67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364C8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17410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7083E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5B9F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6810A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11</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5116E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光电技术发明审查部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7DD96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S604分析检测</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78E8A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负责分析检测相关技术领域发明专利申请实质审查工作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3F176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4</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2A648A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材料物理（080402）、材料化学（080403）、冶金工程（080404）、金属材料工程（080405）、高分子材料与工程（080407）、物理学（070201）、化学（070301）、应用化学（070302）、化学测量学与技术（070306T）、测控技术与仪器（080301）、精密仪器（080302T）、材料科学与工程（080401）、功能材料（080412T）、遥感科学与技术（081202）、勘查技术与工程（081402）、环境科学与工程（082501）、水质科学与技术（082507T）、食品安全与检测（082709T）、海洋技术（070702），仪器科学与技术（0804）、物理学（0702）、资源与环境（0857）、水利工程（0815）、化学工程与技术（0817）、材料科学与工程（0805）、冶金工程（0806）、力学（0801）、石油与天然气工程（0820）、材料与化工（0856）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7EE3D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6B35B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0E2BF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5C413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0565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3174F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12</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03A729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材料工程发明审查部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6E51D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S701热能工程</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3CB19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负责热能工程相关技术领域发明专利申请实质审查工作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17B88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1</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389B1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能源与环境系统工程（080502T）、能源与动力工程（080501）、新能源科学与工程（080503T）、储能科学与工程（080504T）、能源服务工程（080505T）、可持续能源（080507TK）、建筑环境与能源应用工程（081002），动力工程及工程热物理（0807）、能源动力（0858）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4E752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352C9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15B27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653CF3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3B2E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0F8EC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13</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14E19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材料工程发明审查部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6D2DA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S702高分子材料成型及模具加工</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7C983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负责高分子材料成型及模具加工相关技术领域发明专利申请实质审查工作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45C9B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2</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56A00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机械工程（080201）、机械设计制造及其自动化（080202）、材料成型及控制工程（080203）、过程装备与控制工程（080206）、智能制造工程（080213T）、增材制造工程（080217T）、材料科学与工程（080401）、材料物理（080402）、材料化学（080403）、高分子材料与工程（080407）、复合材料与工程（080408）、粉体材料科学与工程（080409T）、功能材料（080412T）、新能源材料与器件（080414T）、材料设计科学与工程（080415T）、复合材料成型工程（080416T）、材料智能技术（080420T），化学（0703）、机械工程（0802）、仪器科学与技术（0804）、材料科学与工程（0805）、控制科学与工程（0811）、化学工程与技术（0817）、机械（0855）、材料与化工（0856）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5ECE5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0AC7D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7400A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39950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5E1E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80"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2AB1D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14</w:t>
            </w:r>
          </w:p>
        </w:tc>
        <w:tc>
          <w:tcPr>
            <w:tcW w:w="312" w:type="pct"/>
            <w:tcBorders>
              <w:top w:val="nil"/>
              <w:left w:val="nil"/>
              <w:bottom w:val="single" w:color="auto" w:sz="6" w:space="0"/>
              <w:right w:val="single" w:color="auto" w:sz="6" w:space="0"/>
            </w:tcBorders>
            <w:shd w:val="clear"/>
            <w:tcMar>
              <w:left w:w="105" w:type="dxa"/>
              <w:right w:w="105" w:type="dxa"/>
            </w:tcMar>
            <w:vAlign w:val="center"/>
          </w:tcPr>
          <w:p w14:paraId="160104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材料工程发明审查部</w:t>
            </w:r>
          </w:p>
        </w:tc>
        <w:tc>
          <w:tcPr>
            <w:tcW w:w="346" w:type="pct"/>
            <w:tcBorders>
              <w:top w:val="nil"/>
              <w:left w:val="nil"/>
              <w:bottom w:val="single" w:color="auto" w:sz="6" w:space="0"/>
              <w:right w:val="single" w:color="auto" w:sz="6" w:space="0"/>
            </w:tcBorders>
            <w:shd w:val="clear"/>
            <w:tcMar>
              <w:left w:w="105" w:type="dxa"/>
              <w:right w:w="105" w:type="dxa"/>
            </w:tcMar>
            <w:vAlign w:val="center"/>
          </w:tcPr>
          <w:p w14:paraId="6D3BA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S703特定金属的提炼</w:t>
            </w:r>
          </w:p>
        </w:tc>
        <w:tc>
          <w:tcPr>
            <w:tcW w:w="381" w:type="pct"/>
            <w:tcBorders>
              <w:top w:val="nil"/>
              <w:left w:val="nil"/>
              <w:bottom w:val="single" w:color="auto" w:sz="6" w:space="0"/>
              <w:right w:val="single" w:color="auto" w:sz="6" w:space="0"/>
            </w:tcBorders>
            <w:shd w:val="clear"/>
            <w:tcMar>
              <w:left w:w="105" w:type="dxa"/>
              <w:right w:w="105" w:type="dxa"/>
            </w:tcMar>
            <w:vAlign w:val="center"/>
          </w:tcPr>
          <w:p w14:paraId="5DE56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负责特定金属的提炼相关技术领域发明专利申请实质审查工作</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73764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1</w:t>
            </w:r>
          </w:p>
        </w:tc>
        <w:tc>
          <w:tcPr>
            <w:tcW w:w="2035" w:type="pct"/>
            <w:tcBorders>
              <w:top w:val="nil"/>
              <w:left w:val="nil"/>
              <w:bottom w:val="single" w:color="auto" w:sz="6" w:space="0"/>
              <w:right w:val="single" w:color="auto" w:sz="6" w:space="0"/>
            </w:tcBorders>
            <w:shd w:val="clear"/>
            <w:tcMar>
              <w:left w:w="105" w:type="dxa"/>
              <w:right w:w="105" w:type="dxa"/>
            </w:tcMar>
            <w:vAlign w:val="center"/>
          </w:tcPr>
          <w:p w14:paraId="57616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材料科学与工程（080401）、材料物理（080402）、材料化学（080403）、冶金工程（080404）、金属材料工程（080405）、无机非金属材料工程（080406）、复合材料与工程（080408）、材料设计科学与工程（080415T）、稀土材料科学与工程（080423T）、化学工程与工艺（081301）、资源循环科学与工程（081303T）、采矿工程（081501）、矿物加工工程（081503）、环境科学与工程（082501）、环境工程（082502）、环境科学（082503）、环境生态工程（082504），材料科学与工程（0805）、冶金工程（0806）、化学工程与技术（0817）、矿业工程（0819）、环境科学与工程（0830）、材料与化工（0856）、资源与环境（0857）等相关专业</w:t>
            </w:r>
          </w:p>
        </w:tc>
        <w:tc>
          <w:tcPr>
            <w:tcW w:w="385" w:type="pct"/>
            <w:tcBorders>
              <w:top w:val="nil"/>
              <w:left w:val="nil"/>
              <w:bottom w:val="single" w:color="auto" w:sz="6" w:space="0"/>
              <w:right w:val="single" w:color="auto" w:sz="6" w:space="0"/>
            </w:tcBorders>
            <w:shd w:val="clear"/>
            <w:tcMar>
              <w:left w:w="105" w:type="dxa"/>
              <w:right w:w="105" w:type="dxa"/>
            </w:tcMar>
            <w:vAlign w:val="center"/>
          </w:tcPr>
          <w:p w14:paraId="7C11B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硕士研究生及以上学历，并具备与最高学历相对应的学位</w:t>
            </w:r>
          </w:p>
        </w:tc>
        <w:tc>
          <w:tcPr>
            <w:tcW w:w="275" w:type="pct"/>
            <w:tcBorders>
              <w:top w:val="nil"/>
              <w:left w:val="nil"/>
              <w:bottom w:val="single" w:color="auto" w:sz="6" w:space="0"/>
              <w:right w:val="single" w:color="auto" w:sz="6" w:space="0"/>
            </w:tcBorders>
            <w:shd w:val="clear"/>
            <w:tcMar>
              <w:left w:w="105" w:type="dxa"/>
              <w:right w:w="105" w:type="dxa"/>
            </w:tcMar>
            <w:vAlign w:val="center"/>
          </w:tcPr>
          <w:p w14:paraId="4346D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不限</w:t>
            </w:r>
          </w:p>
        </w:tc>
        <w:tc>
          <w:tcPr>
            <w:tcW w:w="602" w:type="pct"/>
            <w:tcBorders>
              <w:top w:val="nil"/>
              <w:left w:val="nil"/>
              <w:bottom w:val="single" w:color="auto" w:sz="6" w:space="0"/>
              <w:right w:val="single" w:color="auto" w:sz="6" w:space="0"/>
            </w:tcBorders>
            <w:shd w:val="clear"/>
            <w:tcMar>
              <w:left w:w="105" w:type="dxa"/>
              <w:right w:w="105" w:type="dxa"/>
            </w:tcMar>
            <w:vAlign w:val="center"/>
          </w:tcPr>
          <w:p w14:paraId="6B449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应届毕业生应于2026年8月前取得毕业证、学位证。</w:t>
            </w:r>
          </w:p>
          <w:p w14:paraId="64F4D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 </w:t>
            </w:r>
          </w:p>
        </w:tc>
      </w:tr>
      <w:tr w14:paraId="57BF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0" w:hRule="atLeast"/>
          <w:tblCellSpacing w:w="15" w:type="dxa"/>
        </w:trPr>
        <w:tc>
          <w:tcPr>
            <w:tcW w:w="4978" w:type="pct"/>
            <w:gridSpan w:val="9"/>
            <w:tcBorders>
              <w:top w:val="nil"/>
              <w:left w:val="single" w:color="auto" w:sz="6" w:space="0"/>
              <w:bottom w:val="single" w:color="auto" w:sz="6" w:space="0"/>
              <w:right w:val="single" w:color="auto" w:sz="6" w:space="0"/>
            </w:tcBorders>
            <w:shd w:val="clear"/>
            <w:tcMar>
              <w:left w:w="105" w:type="dxa"/>
              <w:right w:w="105" w:type="dxa"/>
            </w:tcMar>
            <w:vAlign w:val="center"/>
          </w:tcPr>
          <w:p w14:paraId="66AD4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仿宋_GB2312" w:hAnsi="微软雅黑" w:eastAsia="仿宋_GB2312" w:cs="仿宋_GB2312"/>
                <w:color w:val="313131"/>
                <w:sz w:val="22"/>
                <w:szCs w:val="22"/>
              </w:rPr>
            </w:pPr>
            <w:r>
              <w:rPr>
                <w:rFonts w:hint="default" w:ascii="仿宋_GB2312" w:hAnsi="微软雅黑" w:eastAsia="仿宋_GB2312" w:cs="仿宋_GB2312"/>
                <w:color w:val="313131"/>
                <w:sz w:val="22"/>
                <w:szCs w:val="22"/>
              </w:rPr>
              <w:t>备注：本科专业及6位代码参考《普通高等学校本科专业目录（2025年版）》，研究生专业及4位代码参考《研究生教育学科专业目录（2022年）》，对于所学专业接近但不在上述目录中的，应聘人员可与四川中心联系，确认报名资格。</w:t>
            </w:r>
          </w:p>
        </w:tc>
      </w:tr>
    </w:tbl>
    <w:p w14:paraId="37696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50" w:lineRule="atLeast"/>
        <w:ind w:left="0" w:right="0" w:firstLine="420"/>
        <w:rPr>
          <w:rFonts w:hint="eastAsia" w:ascii="微软雅黑" w:hAnsi="微软雅黑" w:eastAsia="微软雅黑" w:cs="微软雅黑"/>
          <w:color w:val="313131"/>
          <w:sz w:val="21"/>
          <w:szCs w:val="21"/>
        </w:rPr>
      </w:pPr>
      <w:r>
        <w:rPr>
          <w:rFonts w:hint="eastAsia" w:ascii="微软雅黑" w:hAnsi="微软雅黑" w:eastAsia="微软雅黑" w:cs="微软雅黑"/>
          <w:i w:val="0"/>
          <w:iCs w:val="0"/>
          <w:caps w:val="0"/>
          <w:color w:val="313131"/>
          <w:spacing w:val="0"/>
          <w:sz w:val="21"/>
          <w:szCs w:val="21"/>
          <w:bdr w:val="none" w:color="auto" w:sz="0" w:space="0"/>
          <w:shd w:val="clear" w:fill="FFFFFF"/>
        </w:rPr>
        <w:t> </w:t>
      </w:r>
    </w:p>
    <w:p w14:paraId="746F6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50" w:lineRule="atLeast"/>
        <w:ind w:left="0" w:right="0" w:firstLine="420"/>
        <w:rPr>
          <w:rFonts w:hint="eastAsia" w:ascii="微软雅黑" w:hAnsi="微软雅黑" w:eastAsia="微软雅黑" w:cs="微软雅黑"/>
          <w:color w:val="313131"/>
          <w:sz w:val="21"/>
          <w:szCs w:val="21"/>
        </w:rPr>
      </w:pPr>
      <w:r>
        <w:rPr>
          <w:rFonts w:hint="eastAsia" w:ascii="微软雅黑" w:hAnsi="微软雅黑" w:eastAsia="微软雅黑" w:cs="微软雅黑"/>
          <w:i w:val="0"/>
          <w:iCs w:val="0"/>
          <w:caps w:val="0"/>
          <w:color w:val="313131"/>
          <w:spacing w:val="0"/>
          <w:sz w:val="21"/>
          <w:szCs w:val="21"/>
          <w:bdr w:val="none" w:color="auto" w:sz="0" w:space="0"/>
          <w:shd w:val="clear" w:fill="FFFFFF"/>
        </w:rPr>
        <w:t> </w:t>
      </w:r>
    </w:p>
    <w:p w14:paraId="605B9AF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C8DC4544-830B-46B8-9374-53FBECEE96EF}"/>
  </w:font>
  <w:font w:name="方正小标宋简体">
    <w:panose1 w:val="02000000000000000000"/>
    <w:charset w:val="86"/>
    <w:family w:val="auto"/>
    <w:pitch w:val="default"/>
    <w:sig w:usb0="00000001" w:usb1="08000000" w:usb2="00000000" w:usb3="00000000" w:csb0="00040000" w:csb1="00000000"/>
    <w:embedRegular r:id="rId2" w:fontKey="{E6743CCA-526E-4009-B8FD-E2AE3DA80BD3}"/>
  </w:font>
  <w:font w:name="仿宋_GB2312">
    <w:altName w:val="仿宋"/>
    <w:panose1 w:val="00000000000000000000"/>
    <w:charset w:val="00"/>
    <w:family w:val="auto"/>
    <w:pitch w:val="default"/>
    <w:sig w:usb0="00000000" w:usb1="00000000" w:usb2="00000000" w:usb3="00000000" w:csb0="00000000" w:csb1="00000000"/>
    <w:embedRegular r:id="rId3" w:fontKey="{20BD04D2-0572-4949-B67F-DB78F90F664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A680E"/>
    <w:rsid w:val="716A6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2025-12-12T06:07:00Z</dcterms:created>
  <dc:creator>Yw_J</dc:creator>
  <cp:lastModifiedBy>Yw_J</cp:lastModifiedBy>
  <dcterms:modified xsi:type="dcterms:W3CDTF">2025-12-12T06:11:54Z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86B22CDE5FE44FF1A10076949EA0F871_11</vt:lpwstr>
  </property>
  <property fmtid="{D5CDD505-2E9C-101B-9397-08002B2CF9AE}" pid="4" name="KSOTemplateDocerSaveRecord">
    <vt:lpwstr>eyJoZGlkIjoiMzhlYTg5MjI2NGEyYjlhM2EyODEwYWRjM2FmZjYwODYiLCJ1c2VySWQiOiIyODY1ODM1NjMifQ==</vt:lpwstr>
  </property>
</Properties>
</file>