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spacing w:before="100" w:beforeAutospacing="1" w:after="100" w:afterAutospacing="1"/>
        <w:ind w:left="641" w:hanging="641"/>
        <w:jc w:val="left"/>
        <w:rPr>
          <w:rFonts w:hint="eastAsia" w:ascii="宋体" w:hAnsi="宋体" w:eastAsia="方正黑体简体" w:cs="方正黑体简体"/>
          <w:b w:val="0"/>
          <w:bCs w:val="0"/>
          <w:sz w:val="28"/>
          <w:szCs w:val="28"/>
        </w:rPr>
      </w:pPr>
      <w:r>
        <w:rPr>
          <w:rFonts w:hint="eastAsia" w:ascii="宋体" w:hAnsi="宋体" w:eastAsia="方正黑体简体" w:cs="方正黑体简体"/>
          <w:b w:val="0"/>
          <w:bCs w:val="0"/>
          <w:sz w:val="28"/>
          <w:szCs w:val="28"/>
        </w:rPr>
        <w:t>附件2</w:t>
      </w: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41" w:hanging="641"/>
        <w:textAlignment w:val="auto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  <w:t>在线考试考生操作手册</w:t>
      </w:r>
    </w:p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41" w:hanging="641"/>
        <w:textAlignment w:val="auto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本次考试为在线考试形式，考生需自行准备符合要求的考试设备、监控设备和考试场所。以下就如何下载安装易考客户端、在线考试操作流程、以及如何搭建监控环境等具体操作进行说明。</w:t>
      </w: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sz w:val="32"/>
          <w:szCs w:val="32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</w:rPr>
        <w:t>考试环境及其考试设备准备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60" w:lineRule="exact"/>
        <w:ind w:left="638" w:leftChars="304" w:firstLine="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考生需自行准备符合以下要求的考试设备和考试环境。</w:t>
      </w: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1.1.</w:t>
      </w:r>
      <w:r>
        <w:rPr>
          <w:rFonts w:hint="eastAsia" w:ascii="宋体" w:hAnsi="宋体" w:eastAsia="方正楷体简体" w:cs="方正楷体简体"/>
          <w:sz w:val="32"/>
          <w:szCs w:val="32"/>
        </w:rPr>
        <w:t>考试环境的要求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考生应选择安静、光线充足、独立的室内空间参加考试。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考试全过程严格禁止无关人员出入考试场所。</w:t>
      </w:r>
    </w:p>
    <w:p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right="42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    不得在公共场所（如公共教室、图书馆、咖啡馆、集体宿舍、敞开式的办公室、交通工具内等）进行考试。</w:t>
      </w: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="0" w:leftChars="0" w:firstLine="842" w:firstLineChars="262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1.2.考试设备要求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  </w:t>
      </w:r>
      <w:r>
        <w:rPr>
          <w:rFonts w:hint="eastAsia" w:ascii="宋体" w:hAnsi="宋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方正仿宋简体" w:cs="方正仿宋简体"/>
          <w:sz w:val="32"/>
          <w:szCs w:val="32"/>
        </w:rPr>
        <w:t xml:space="preserve"> </w:t>
      </w:r>
      <w:r>
        <w:rPr>
          <w:rFonts w:hint="eastAsia" w:ascii="宋体" w:hAnsi="宋体" w:eastAsia="方正仿宋简体" w:cs="方正仿宋简体"/>
          <w:sz w:val="32"/>
          <w:szCs w:val="32"/>
          <w:lang w:val="en-US" w:eastAsia="zh-CN"/>
        </w:rPr>
        <w:t>考</w:t>
      </w:r>
      <w:r>
        <w:rPr>
          <w:rFonts w:hint="eastAsia" w:ascii="宋体" w:hAnsi="宋体" w:eastAsia="方正仿宋简体" w:cs="方正仿宋简体"/>
          <w:sz w:val="32"/>
          <w:szCs w:val="32"/>
        </w:rPr>
        <w:t>试时应仅准备符合要求的以下设备，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40" w:leftChars="400" w:right="420" w:rightChars="200" w:firstLine="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一台用于考试的电脑（台式机或笔记本电脑）               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40" w:leftChars="400" w:right="420" w:rightChars="200" w:firstLine="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键盘、鼠标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40" w:leftChars="400" w:right="420" w:rightChars="200" w:firstLine="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用于第二视角监控的移动设备及支架</w:t>
      </w:r>
    </w:p>
    <w:p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837555" cy="4205605"/>
            <wp:effectExtent l="0" t="0" r="10795" b="44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1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考试设备要求</w:t>
      </w:r>
    </w:p>
    <w:p>
      <w:pPr>
        <w:rPr>
          <w:rFonts w:hint="eastAsia" w:ascii="宋体" w:hAnsi="宋体" w:eastAsia="方正仿宋简体" w:cs="方正仿宋简体"/>
          <w:b/>
          <w:bCs/>
          <w:sz w:val="24"/>
          <w:szCs w:val="24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</w:rPr>
        <w:t>考试过程中不得使用额外的显示器，不得佩戴耳机，设备需内置或外置麦克风。</w:t>
      </w: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1.3.用于在线考试的电脑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台式机或笔记本电脑：</w:t>
      </w:r>
    </w:p>
    <w:p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电脑操作系统要求为Win7、Win10、Win11或Mac OS 10.15.7及以上</w:t>
      </w:r>
    </w:p>
    <w:p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最低配置要求为CPU：双核；内存:4G；安装客户端硬盘空间&gt;2G</w:t>
      </w:r>
    </w:p>
    <w:p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不得使用平板电脑或移动设备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摄像头：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内置或外置摄像头均可，用于登录拍照并作为考试的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主监控视角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摄像头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。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扬声器：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电脑需配备可用的内置或外置扬声器，并提前调整扬声器音量到合适的大小。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考生不得佩戴耳机以免被判定为违纪。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麦克风：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电脑需配备可用的内置或外置麦克风。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考生不得佩戴使用耳机麦克风以免被判定为违纪。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考试软件：</w:t>
      </w:r>
    </w:p>
    <w:p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请在考前下载最新版易考客户端，并完成安装</w:t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198" w:right="0" w:hanging="198" w:firstLineChars="0"/>
        <w:jc w:val="both"/>
        <w:textAlignment w:val="auto"/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 xml:space="preserve"> 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>易考客户端不支持安装在平板电脑或移动设备上。</w:t>
      </w:r>
    </w:p>
    <w:p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进入考试系统前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关闭电脑上与考试无关网页和软件</w:t>
      </w:r>
      <w:r>
        <w:rPr>
          <w:rFonts w:hint="eastAsia" w:ascii="宋体" w:hAnsi="宋体" w:eastAsia="方正仿宋简体" w:cs="方正仿宋简体"/>
          <w:sz w:val="32"/>
          <w:szCs w:val="32"/>
        </w:rPr>
        <w:t>，包括安全卫士、电脑管家、各类通讯软件以及音视频播放、直播软件等。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如使用笔记本电脑请保持电量充足，建议全程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使用外接电源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。</w:t>
      </w: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1.4.用于第二视角（鹰眼）监控的设备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带正常上网功能的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智能手机或平板设备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，必须带有可正常工作的摄像头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鹰眼监控推荐使用的浏览器要求如下：</w:t>
      </w:r>
    </w:p>
    <w:tbl>
      <w:tblPr>
        <w:tblStyle w:val="23"/>
        <w:tblW w:w="996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0"/>
        <w:gridCol w:w="2343"/>
        <w:gridCol w:w="3439"/>
        <w:gridCol w:w="2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tcBorders>
              <w:bottom w:val="single" w:color="auto" w:sz="4" w:space="0"/>
            </w:tcBorders>
            <w:shd w:val="clear" w:color="auto" w:fill="00B05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343" w:type="dxa"/>
            <w:shd w:val="clear" w:color="auto" w:fill="00B05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439" w:type="dxa"/>
            <w:shd w:val="clear" w:color="auto" w:fill="00B05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690" w:type="dxa"/>
            <w:shd w:val="clear" w:color="auto" w:fill="00B05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3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IOS 13+</w:t>
            </w:r>
          </w:p>
        </w:tc>
        <w:tc>
          <w:tcPr>
            <w:tcW w:w="34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Android 10+</w:t>
            </w:r>
          </w:p>
        </w:tc>
        <w:tc>
          <w:tcPr>
            <w:tcW w:w="26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HarmonyOS 2+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3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Safari、Chrome</w:t>
            </w:r>
          </w:p>
        </w:tc>
        <w:tc>
          <w:tcPr>
            <w:tcW w:w="34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Edge、Chrome、华为花瓣</w:t>
            </w:r>
          </w:p>
        </w:tc>
        <w:tc>
          <w:tcPr>
            <w:tcW w:w="26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3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  <w:tc>
          <w:tcPr>
            <w:tcW w:w="34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  <w:tc>
          <w:tcPr>
            <w:tcW w:w="26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</w:tr>
    </w:tbl>
    <w:p>
      <w:pPr>
        <w:pStyle w:val="7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表格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表格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1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>第二视角监控设备浏览器要求</w:t>
      </w:r>
    </w:p>
    <w:p>
      <w:pPr>
        <w:spacing w:before="156" w:beforeLines="50" w:after="156" w:afterLines="50"/>
        <w:ind w:left="481" w:leftChars="229" w:firstLine="241" w:firstLineChars="100"/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>使用推荐的浏览器可获得较为稳定的考试体验，建议考生优先使用。</w:t>
      </w: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1.5.考试场所网络条件要求</w:t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考试场所应有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稳定的网络条件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，支持考试设备和监控设备同时联网。</w:t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建议使用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带宽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50Mbps或以上的独立光纤网络；</w:t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建议考生准备4G网络作为备用网络，并事先做好调试，以便出现网络故障时能迅速切换到备用网络继续考试。（一场2小时左右的考试，预计使用3GB的流量）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703" w:firstLineChars="250"/>
        <w:jc w:val="both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考试期间如发生网络故障，考试系统会提醒考生。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不予补时或补考。</w:t>
      </w: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2.易考客户端下载、安装和调试</w:t>
      </w: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2.1.获取易考客户端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使用考试设备，在浏览器中打开考试链接，会直接进入客户端的下载页面（考试链接通常会通过短信通知考生）。</w:t>
      </w:r>
    </w:p>
    <w:p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590415" cy="3509010"/>
            <wp:effectExtent l="0" t="0" r="635" b="1524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2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易考客户端下载</w:t>
      </w: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2.2.易考客户端安装</w:t>
      </w:r>
    </w:p>
    <w:p>
      <w:pPr>
        <w:pStyle w:val="43"/>
        <w:ind w:left="0" w:leftChars="0" w:firstLine="630" w:firstLineChars="3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675640</wp:posOffset>
            </wp:positionV>
            <wp:extent cx="737870" cy="746125"/>
            <wp:effectExtent l="0" t="0" r="5080" b="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易考客户端适用于Windows（Win7、Win10、Win11）或Mac OS（10.15.7及以上）操作系统，考生按照系统提示的步骤完成安装。</w:t>
      </w:r>
    </w:p>
    <w:p>
      <w:pPr>
        <w:pStyle w:val="43"/>
        <w:ind w:left="0" w:firstLine="42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客户端安装完成后，打开“eztest”图标，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即可进入考试系统。</w:t>
      </w:r>
    </w:p>
    <w:p>
      <w:pPr>
        <w:pStyle w:val="43"/>
        <w:ind w:left="420" w:right="420" w:hanging="420"/>
        <w:rPr>
          <w:rFonts w:hint="eastAsia" w:ascii="宋体" w:hAnsi="宋体" w:eastAsia="方正仿宋"/>
        </w:rPr>
      </w:pP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2.3.使用易考客户端进入考试</w:t>
      </w:r>
    </w:p>
    <w:p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启动“eztest”易考客户端</w:t>
      </w:r>
    </w:p>
    <w:p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 xml:space="preserve">    在考试设备上，运行“eztest”客户端</w:t>
      </w:r>
    </w:p>
    <w:p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输入考试口令</w:t>
      </w:r>
    </w:p>
    <w:p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 xml:space="preserve">    在易考客户端界面输入考试口令,考试口令通常通过短信通知考生。</w:t>
      </w:r>
    </w:p>
    <w:p>
      <w:pPr>
        <w:rPr>
          <w:rFonts w:hint="eastAsia" w:ascii="宋体" w:hAnsi="宋体" w:eastAsia="方正仿宋"/>
        </w:rPr>
      </w:pPr>
    </w:p>
    <w:p>
      <w:pPr>
        <w:pStyle w:val="43"/>
        <w:ind w:left="0" w:firstLineChars="0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</w:t>
      </w:r>
      <w:r>
        <w:rPr>
          <w:rFonts w:hint="eastAsia" w:ascii="宋体" w:hAnsi="宋体" w:eastAsia="方正仿宋"/>
          <w:b/>
          <w:bCs/>
          <w:color w:val="00B050"/>
          <w:lang w:val="en-US" w:eastAsia="zh-CN"/>
        </w:rPr>
        <w:t xml:space="preserve">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正式考试与模拟考试的口令不同，请考生注意查看短信通知，切勿使用错误的口令以免错过考试。</w:t>
      </w:r>
    </w:p>
    <w:p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218940" cy="2938780"/>
            <wp:effectExtent l="0" t="0" r="10160" b="13970"/>
            <wp:docPr id="11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3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考试口令页</w:t>
      </w:r>
    </w:p>
    <w:p>
      <w:pPr>
        <w:pStyle w:val="43"/>
        <w:ind w:left="420" w:right="420" w:hanging="420"/>
        <w:rPr>
          <w:rFonts w:hint="eastAsia" w:ascii="宋体" w:hAnsi="宋体" w:eastAsia="方正仿宋"/>
        </w:rPr>
      </w:pPr>
    </w:p>
    <w:p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调试设备</w:t>
      </w:r>
    </w:p>
    <w:p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在登录页中，点击“调试设备”测试考试设备的（内/外置）摄像头以及音频设备是否可用。</w:t>
      </w:r>
    </w:p>
    <w:p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338955" cy="3021330"/>
            <wp:effectExtent l="0" t="0" r="4445" b="7620"/>
            <wp:docPr id="14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3021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4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设备调试1</w:t>
      </w:r>
    </w:p>
    <w:p>
      <w:pPr>
        <w:ind w:left="0" w:firstLine="0" w:firstLineChars="0"/>
        <w:rPr>
          <w:rFonts w:hint="eastAsia" w:ascii="宋体" w:hAnsi="宋体" w:eastAsia="方正仿宋"/>
          <w:b/>
          <w:bCs/>
          <w:color w:val="00B050"/>
        </w:rPr>
      </w:pPr>
    </w:p>
    <w:p>
      <w:pPr>
        <w:ind w:left="0" w:firstLine="0" w:firstLineChars="0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一旦完成登录，考试系统将全屏锁定电脑的操作界面。强烈建议在输入准考证号（身份证号）进入考试前，进行设备调试，确认考试设备的可用情况。</w:t>
      </w:r>
    </w:p>
    <w:p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114165" cy="3955415"/>
            <wp:effectExtent l="0" t="0" r="635" b="6985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5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设备调试2</w:t>
      </w:r>
    </w:p>
    <w:p>
      <w:pPr>
        <w:rPr>
          <w:rFonts w:hint="eastAsia" w:ascii="宋体" w:hAnsi="宋体" w:eastAsia="方正仿宋"/>
        </w:rPr>
      </w:pPr>
    </w:p>
    <w:p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登录考试</w:t>
      </w:r>
    </w:p>
    <w:p>
      <w:pPr>
        <w:pStyle w:val="43"/>
        <w:ind w:left="0" w:leftChars="0" w:firstLine="64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完成调试后，可在允许登录的时间段内，输入准考证号（身份证号）登录。（登录时间等要求请参见考试通知）强烈建议考生预留出时间，提前完成设备调试，提前进入考试。</w:t>
      </w:r>
    </w:p>
    <w:p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316220" cy="3642360"/>
            <wp:effectExtent l="0" t="0" r="17780" b="15240"/>
            <wp:docPr id="2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236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6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考试登录</w:t>
      </w:r>
    </w:p>
    <w:p>
      <w:pPr>
        <w:rPr>
          <w:rFonts w:hint="eastAsia" w:ascii="宋体" w:hAnsi="宋体" w:eastAsia="方正仿宋"/>
        </w:rPr>
      </w:pPr>
    </w:p>
    <w:p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（5）考生个人信息确认</w:t>
      </w:r>
    </w:p>
    <w:p>
      <w:pPr>
        <w:ind w:left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完成登录后，考生确认自己的基本信息（根据实际考试基本信息为准，下图仅为样图），点击确定按钮继续；</w:t>
      </w:r>
    </w:p>
    <w:p>
      <w:pPr>
        <w:ind w:left="0" w:firstLine="422" w:firstLineChars="200"/>
        <w:rPr>
          <w:rFonts w:hint="eastAsia" w:ascii="宋体" w:hAnsi="宋体" w:eastAsia="方正仿宋"/>
        </w:rPr>
      </w:pPr>
      <w:r>
        <w:rPr>
          <w:rStyle w:val="16"/>
          <w:rFonts w:hint="eastAsia" w:ascii="宋体" w:hAnsi="宋体" w:eastAsia="方正仿宋"/>
          <w:bCs/>
        </w:rPr>
        <w:t xml:space="preserve">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708525" cy="4177030"/>
            <wp:effectExtent l="0" t="0" r="15875" b="13970"/>
            <wp:docPr id="2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7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基本信息确认</w:t>
      </w:r>
    </w:p>
    <w:p>
      <w:pPr>
        <w:ind w:left="0" w:firstLine="0" w:firstLineChars="0"/>
        <w:rPr>
          <w:rFonts w:hint="eastAsia" w:ascii="宋体" w:hAnsi="宋体" w:eastAsia="方正仿宋"/>
        </w:rPr>
      </w:pPr>
    </w:p>
    <w:p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（6）拍摄登录照</w:t>
      </w:r>
    </w:p>
    <w:p>
      <w:pPr>
        <w:pStyle w:val="43"/>
        <w:ind w:left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系统会提示考生拍摄个人正面照作为登录照。</w:t>
      </w:r>
    </w:p>
    <w:p>
      <w:pPr>
        <w:pStyle w:val="43"/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登录照片是考后主办方核验参考考生身份的重要凭证之一，请确保拍照时光线充足、图像清晰，照片应包括考生完整的面部和肩部。</w:t>
      </w:r>
    </w:p>
    <w:p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299585" cy="3402330"/>
            <wp:effectExtent l="0" t="0" r="5715" b="7620"/>
            <wp:docPr id="26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402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>图 8 拍摄登录照</w:t>
      </w:r>
    </w:p>
    <w:p>
      <w:pPr>
        <w:rPr>
          <w:rFonts w:hint="eastAsia" w:ascii="宋体" w:hAnsi="宋体" w:eastAsia="方正仿宋"/>
        </w:rPr>
      </w:pP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2.4.开启鹰眼监控</w:t>
      </w:r>
    </w:p>
    <w:p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完成登录拍照后，电脑端将显示开启鹰眼监控的指示页，请根据界面中的说明布置鹰眼监控。</w:t>
      </w:r>
    </w:p>
    <w:p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手机端完成扫描并进入第二视角监控后，在电脑端确认，即可进入考试界面。</w:t>
      </w:r>
    </w:p>
    <w:p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994910" cy="3803015"/>
            <wp:effectExtent l="0" t="0" r="15240" b="6985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>图 9 鹰眼登录</w:t>
      </w:r>
    </w:p>
    <w:p>
      <w:pPr>
        <w:rPr>
          <w:rFonts w:hint="eastAsia" w:ascii="宋体" w:hAnsi="宋体" w:eastAsia="方正仿宋"/>
        </w:rPr>
      </w:pPr>
    </w:p>
    <w:p>
      <w:pPr>
        <w:ind w:left="0" w:leftChars="0" w:firstLine="42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第一步：使用鹰眼监控设备（智能手机或平板设备）扫描界面左侧的二维码。</w:t>
      </w:r>
    </w:p>
    <w:p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第二步：在鹰眼监控设备中阅读监控要求，并开启监控。</w:t>
      </w:r>
    </w:p>
    <w:p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第三步：将鹰眼监控设备按要求摆放。</w:t>
      </w:r>
    </w:p>
    <w:p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第四步：在电脑端点击确认后，完成监控设备的布置。</w:t>
      </w:r>
    </w:p>
    <w:p>
      <w:pPr>
        <w:rPr>
          <w:rFonts w:hint="eastAsia" w:ascii="宋体" w:hAnsi="宋体" w:eastAsia="方正仿宋"/>
        </w:rPr>
      </w:pPr>
    </w:p>
    <w:p>
      <w:pPr>
        <w:ind w:left="0" w:firstLine="562" w:firstLineChars="200"/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推荐的扫描方式为：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ios设备请使用相机对准二维码，并按设备提示点击网页地址使用默认的safari浏览器打开；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Android设备可打开推荐浏览器（如华为花瓣浏览器），扫描鹰眼二维码；</w:t>
      </w:r>
    </w:p>
    <w:p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838" w:leftChars="304" w:right="420" w:rightChars="200" w:hanging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994400" cy="5600700"/>
            <wp:effectExtent l="0" t="0" r="635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00" w:hanging="400"/>
        <w:jc w:val="center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</w:rPr>
        <w:t>图 10 开启鹰眼步骤图</w:t>
      </w:r>
    </w:p>
    <w:p>
      <w:pPr>
        <w:ind w:left="422" w:hanging="422"/>
        <w:rPr>
          <w:rFonts w:hint="eastAsia" w:ascii="宋体" w:hAnsi="宋体" w:eastAsia="方正仿宋"/>
          <w:b/>
          <w:bCs/>
          <w:color w:val="00B050"/>
        </w:rPr>
      </w:pPr>
    </w:p>
    <w:p>
      <w:pPr>
        <w:ind w:left="422" w:hanging="422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本文档中的二维码及监考要求信息仅做展示，请以考试通知为准。</w:t>
      </w: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2.5.考生监控状态查看</w:t>
      </w:r>
    </w:p>
    <w:p>
      <w:pPr>
        <w:ind w:left="0" w:firstLine="42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与监控相关的内容，可点击右上角的“监控”图标进行查看，可查看主监控、鹰眼的状态，并查看监督老师发来的消息。</w:t>
      </w:r>
    </w:p>
    <w:p>
      <w:pPr>
        <w:ind w:left="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97155</wp:posOffset>
            </wp:positionV>
            <wp:extent cx="4419600" cy="2832100"/>
            <wp:effectExtent l="0" t="0" r="0" b="6350"/>
            <wp:wrapTopAndBottom/>
            <wp:docPr id="35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400550" cy="2881630"/>
            <wp:effectExtent l="0" t="0" r="0" b="13970"/>
            <wp:docPr id="3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  </w:t>
      </w:r>
      <w:r>
        <w:rPr>
          <w:rFonts w:hint="eastAsia" w:ascii="宋体" w:hAnsi="宋体" w:eastAsia="方正仿宋"/>
          <w:lang w:val="en-US" w:eastAsia="zh-CN"/>
        </w:rPr>
        <w:t xml:space="preserve"> 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若考试期间鹰眼监控断连，系统会进行文字提示，考生可进入查看，重新扫码后即可再次进入鹰眼监控。</w:t>
      </w:r>
    </w:p>
    <w:p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200015" cy="3307080"/>
            <wp:effectExtent l="0" t="0" r="635" b="762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Chars="199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</w:p>
    <w:p>
      <w:pPr>
        <w:ind w:left="491" w:leftChars="234" w:firstLine="145" w:firstLineChars="45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2.6. 考生如何获得技术支持</w:t>
      </w:r>
    </w:p>
    <w:p>
      <w:pPr>
        <w:pStyle w:val="43"/>
        <w:ind w:left="0" w:firstLine="420" w:firstLineChars="200"/>
        <w:rPr>
          <w:rFonts w:hint="eastAsia" w:ascii="宋体" w:hAnsi="宋体" w:eastAsia="方正仿宋"/>
          <w:bCs/>
        </w:rPr>
      </w:pPr>
      <w:r>
        <w:rPr>
          <w:rFonts w:hint="eastAsia" w:ascii="宋体" w:hAnsi="宋体" w:eastAsia="方正仿宋"/>
          <w:bCs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在考试过程中如遇到设备或操作等技术问题，可点击系统界面右侧的“技术支持”获取帮助。</w:t>
      </w:r>
    </w:p>
    <w:p>
      <w:pPr>
        <w:pStyle w:val="43"/>
        <w:ind w:left="0" w:firstLine="420" w:firstLineChars="200"/>
        <w:jc w:val="center"/>
        <w:rPr>
          <w:rFonts w:hint="eastAsia" w:ascii="宋体" w:hAnsi="宋体" w:eastAsia="方正仿宋"/>
          <w:bCs/>
        </w:rPr>
      </w:pPr>
      <w:r>
        <w:rPr>
          <w:rFonts w:hint="eastAsia" w:ascii="宋体" w:hAnsi="宋体" w:eastAsia="方正仿宋"/>
          <w:bCs/>
        </w:rPr>
        <w:drawing>
          <wp:inline distT="0" distB="0" distL="0" distR="0">
            <wp:extent cx="2465070" cy="3013075"/>
            <wp:effectExtent l="0" t="0" r="11430" b="15875"/>
            <wp:docPr id="44" name="图片 8" descr="C:\Users\zhoujie\AppData\Local\Temp\WeChat Files\6d8ba3f68790366c58e2b224ac18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 descr="C:\Users\zhoujie\AppData\Local\Temp\WeChat Files\6d8ba3f68790366c58e2b224ac18ca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ind w:left="0" w:firstLine="422" w:firstLineChars="200"/>
        <w:rPr>
          <w:rFonts w:hint="eastAsia" w:ascii="宋体" w:hAnsi="宋体" w:eastAsia="方正仿宋"/>
          <w:b/>
          <w:bCs/>
          <w:color w:val="00B050"/>
        </w:rPr>
      </w:pPr>
    </w:p>
    <w:p>
      <w:pPr>
        <w:pStyle w:val="43"/>
        <w:ind w:left="1" w:leftChars="-267" w:hanging="562" w:hangingChars="200"/>
        <w:rPr>
          <w:rFonts w:hint="eastAsia" w:ascii="宋体" w:hAnsi="宋体" w:eastAsia="方正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请注意：技术支持仅解答系统相关的问题；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严禁向技术支持透露或咨询与考试内容有关的问题。</w:t>
      </w: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3.考生视频监控布置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00" w:lineRule="exact"/>
        <w:ind w:left="0" w:firstLine="42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"/>
        </w:rPr>
        <w:t xml:space="preserve"> </w:t>
      </w:r>
      <w:r>
        <w:rPr>
          <w:rFonts w:hint="eastAsia" w:ascii="宋体" w:hAnsi="宋体" w:eastAsia="方正仿宋"/>
          <w:lang w:val="en-US" w:eastAsia="zh-CN"/>
        </w:rPr>
        <w:t xml:space="preserve">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00" w:lineRule="exact"/>
        <w:ind w:left="493" w:leftChars="235" w:firstLine="321" w:firstLineChars="1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3.1.主视角监控注意事项：</w:t>
      </w:r>
    </w:p>
    <w:p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600" w:lineRule="exact"/>
        <w:ind w:left="845" w:leftChars="400" w:right="420" w:rightChars="200" w:hanging="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主视角要求拍摄考生正面影像，应拍摄考生肩部以上位置，确保正面影像清晰可见；</w:t>
      </w:r>
    </w:p>
    <w:p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600" w:lineRule="exact"/>
        <w:ind w:left="845" w:leftChars="400" w:right="420" w:rightChars="200" w:hanging="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请注意现场光线，避免背光、光线过强等情况影响监控质量；</w:t>
      </w: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left="845" w:leftChars="400" w:hanging="5" w:firstLineChars="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3.2.鹰眼监控注意事项：</w:t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400" w:right="420" w:rightChars="200" w:hanging="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鹰眼监控设备应摆放在考生侧方，应拍摄到考生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 w:bidi="ar-SA"/>
        </w:rPr>
        <w:t>写字台桌面、考生双手的动作以及电脑屏幕的状态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。</w:t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400" w:right="420" w:rightChars="200" w:hanging="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请将智能手机或平板设备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 w:bidi="ar-SA"/>
        </w:rPr>
        <w:t>固定摆放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，建议使用手机支架，便于按要求调整到合适的位置和高度。</w:t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400" w:right="420" w:rightChars="200" w:hanging="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确保鹰眼监控设备电量充足，建议全程使用外接电源。</w:t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400" w:right="420" w:rightChars="200" w:hanging="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开启鹰眼监控前应关闭与考试无关应用的提醒功能，将设备设置为静音，避免来电、微信、或其他应用打断监控过程。</w:t>
      </w:r>
    </w:p>
    <w:p>
      <w:pPr>
        <w:rPr>
          <w:rFonts w:hint="eastAsia" w:ascii="宋体" w:hAnsi="宋体" w:eastAsia="方正仿宋"/>
        </w:rPr>
      </w:pPr>
    </w:p>
    <w:p>
      <w:pPr>
        <w:rPr>
          <w:rFonts w:hint="eastAsia" w:ascii="宋体" w:hAnsi="宋体" w:eastAsia="方正仿宋"/>
          <w:b/>
          <w:sz w:val="31"/>
        </w:rPr>
      </w:pPr>
      <w:r>
        <w:rPr>
          <w:rFonts w:hint="eastAsia" w:ascii="宋体" w:hAnsi="宋体" w:eastAsia="方正仿宋"/>
        </w:rPr>
        <w:t xml:space="preserve">   </w:t>
      </w:r>
      <w:r>
        <w:rPr>
          <w:rFonts w:hint="eastAsia" w:ascii="宋体" w:hAnsi="宋体" w:eastAsia="方正仿宋"/>
          <w:sz w:val="27"/>
        </w:rPr>
        <w:t xml:space="preserve"> </w:t>
      </w:r>
      <w:r>
        <w:rPr>
          <w:rFonts w:hint="eastAsia" w:ascii="宋体" w:hAnsi="宋体" w:eastAsia="方正仿宋"/>
          <w:sz w:val="27"/>
          <w:lang w:val="en-US" w:eastAsia="zh-CN"/>
        </w:rPr>
        <w:t xml:space="preserve">  </w:t>
      </w:r>
      <w:r>
        <w:rPr>
          <w:rFonts w:hint="eastAsia" w:ascii="宋体" w:hAnsi="宋体" w:eastAsia="方正仿宋"/>
          <w:b/>
          <w:sz w:val="31"/>
        </w:rPr>
        <w:t>监控环境可参照以下示意图：</w:t>
      </w:r>
    </w:p>
    <w:p>
      <w:pPr>
        <w:ind w:left="622" w:hanging="622"/>
        <w:rPr>
          <w:rFonts w:hint="eastAsia" w:ascii="宋体" w:hAnsi="宋体" w:eastAsia="方正仿宋"/>
          <w:b/>
          <w:sz w:val="31"/>
        </w:rPr>
      </w:pPr>
    </w:p>
    <w:p>
      <w:pPr>
        <w:ind w:left="0" w:firstLineChars="0"/>
        <w:jc w:val="center"/>
        <w:rPr>
          <w:rFonts w:hint="eastAsia" w:ascii="宋体" w:hAnsi="宋体" w:eastAsia="方正仿宋"/>
        </w:rPr>
      </w:pPr>
    </w:p>
    <w:p>
      <w:pPr>
        <w:ind w:left="0" w:firstLineChars="0"/>
        <w:jc w:val="center"/>
        <w:rPr>
          <w:rFonts w:hint="eastAsia" w:ascii="宋体" w:hAnsi="宋体" w:eastAsia="方正仿宋"/>
        </w:rPr>
      </w:pPr>
    </w:p>
    <w:p>
      <w:pPr>
        <w:ind w:left="0" w:firstLineChars="0"/>
        <w:jc w:val="center"/>
        <w:rPr>
          <w:rFonts w:hint="eastAsia" w:ascii="宋体" w:hAnsi="宋体" w:eastAsia="方正仿宋"/>
        </w:rPr>
      </w:pPr>
    </w:p>
    <w:p>
      <w:pPr>
        <w:ind w:left="0" w:firstLineChars="0"/>
        <w:jc w:val="center"/>
        <w:rPr>
          <w:rFonts w:hint="eastAsia" w:ascii="宋体" w:hAnsi="宋体" w:eastAsia="方正仿宋"/>
        </w:rPr>
      </w:pPr>
      <w:bookmarkStart w:id="0" w:name="_GoBack"/>
      <w:bookmarkEnd w:id="0"/>
    </w:p>
    <w:p>
      <w:pPr>
        <w:ind w:left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91440</wp:posOffset>
            </wp:positionV>
            <wp:extent cx="4639945" cy="2828925"/>
            <wp:effectExtent l="0" t="0" r="8255" b="9525"/>
            <wp:wrapSquare wrapText="bothSides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2828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firstLineChars="0"/>
        <w:jc w:val="center"/>
        <w:rPr>
          <w:rFonts w:hint="eastAsia" w:ascii="宋体" w:hAnsi="宋体" w:eastAsia="方正仿宋"/>
        </w:rPr>
      </w:pPr>
    </w:p>
    <w:p>
      <w:pPr>
        <w:ind w:left="0" w:firstLineChars="0"/>
        <w:jc w:val="center"/>
        <w:rPr>
          <w:rFonts w:hint="eastAsia" w:ascii="宋体" w:hAnsi="宋体" w:eastAsia="方正仿宋"/>
        </w:rPr>
      </w:pPr>
    </w:p>
    <w:p>
      <w:pPr>
        <w:ind w:left="0" w:firstLineChars="0"/>
        <w:jc w:val="both"/>
        <w:rPr>
          <w:rFonts w:hint="eastAsia" w:ascii="宋体" w:hAnsi="宋体" w:eastAsia="方正仿宋"/>
        </w:rPr>
      </w:pPr>
    </w:p>
    <w:p>
      <w:pPr>
        <w:ind w:left="0" w:firstLineChars="0"/>
        <w:jc w:val="center"/>
        <w:rPr>
          <w:rFonts w:hint="eastAsia" w:ascii="宋体" w:hAnsi="宋体" w:eastAsia="方正仿宋"/>
        </w:rPr>
      </w:pPr>
    </w:p>
    <w:p>
      <w:pPr>
        <w:ind w:left="0" w:firstLineChars="0"/>
        <w:jc w:val="center"/>
        <w:rPr>
          <w:rFonts w:hint="eastAsia" w:ascii="宋体" w:hAnsi="宋体" w:eastAsia="方正仿宋"/>
        </w:rPr>
      </w:pPr>
    </w:p>
    <w:p>
      <w:pPr>
        <w:ind w:left="0" w:firstLineChars="0"/>
        <w:jc w:val="center"/>
        <w:rPr>
          <w:rFonts w:hint="eastAsia" w:ascii="宋体" w:hAnsi="宋体" w:eastAsia="方正仿宋"/>
        </w:rPr>
      </w:pPr>
    </w:p>
    <w:p>
      <w:pPr>
        <w:ind w:left="0" w:firstLineChars="0"/>
        <w:jc w:val="center"/>
        <w:rPr>
          <w:rFonts w:hint="eastAsia" w:ascii="宋体" w:hAnsi="宋体" w:eastAsia="方正仿宋"/>
        </w:rPr>
      </w:pPr>
    </w:p>
    <w:p>
      <w:pPr>
        <w:ind w:left="0" w:firstLineChars="0"/>
        <w:jc w:val="center"/>
        <w:rPr>
          <w:rFonts w:hint="eastAsia" w:ascii="宋体" w:hAnsi="宋体" w:eastAsia="方正仿宋"/>
        </w:rPr>
      </w:pPr>
    </w:p>
    <w:p>
      <w:pPr>
        <w:ind w:left="0" w:firstLineChars="0"/>
        <w:jc w:val="center"/>
        <w:rPr>
          <w:rFonts w:hint="eastAsia" w:ascii="宋体" w:hAnsi="宋体" w:eastAsia="方正仿宋"/>
        </w:rPr>
      </w:pPr>
    </w:p>
    <w:p>
      <w:pPr>
        <w:ind w:left="0" w:firstLineChars="0"/>
        <w:jc w:val="center"/>
        <w:rPr>
          <w:rFonts w:hint="eastAsia" w:ascii="宋体" w:hAnsi="宋体" w:eastAsia="方正仿宋"/>
        </w:rPr>
      </w:pPr>
    </w:p>
    <w:p>
      <w:pPr>
        <w:ind w:left="0" w:firstLineChars="0"/>
        <w:jc w:val="center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</w:rPr>
        <w:t>14监控环境示意图</w:t>
      </w:r>
    </w:p>
    <w:p>
      <w:pPr>
        <w:pStyle w:val="43"/>
        <w:ind w:left="0" w:firstLine="422" w:firstLineChars="200"/>
        <w:rPr>
          <w:rFonts w:hint="eastAsia" w:ascii="宋体" w:hAnsi="宋体" w:eastAsia="方正仿宋"/>
          <w:b/>
          <w:bCs/>
          <w:color w:val="00B050"/>
        </w:rPr>
      </w:pPr>
    </w:p>
    <w:p>
      <w:pPr>
        <w:pStyle w:val="43"/>
        <w:ind w:left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</w:t>
      </w:r>
      <w:r>
        <w:rPr>
          <w:rFonts w:hint="eastAsia" w:ascii="宋体" w:hAnsi="宋体" w:eastAsia="方正仿宋"/>
          <w:b/>
          <w:bCs/>
          <w:color w:val="00B050"/>
          <w:lang w:val="en-US" w:eastAsia="zh-CN"/>
        </w:rPr>
        <w:t xml:space="preserve">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4.附摄像头故障解决方法</w:t>
      </w: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left="0" w:leftChars="0" w:firstLine="643" w:firstLineChars="2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4.1.摄像头黑屏/提示相机被禁用</w:t>
      </w:r>
    </w:p>
    <w:p>
      <w:pPr>
        <w:ind w:left="0" w:right="42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"/>
          <w:lang w:val="en-US" w:eastAsia="zh-CN"/>
        </w:rPr>
        <w:t xml:space="preserve">    </w:t>
      </w:r>
      <w:r>
        <w:rPr>
          <w:rFonts w:hint="eastAsia" w:ascii="宋体" w:hAnsi="宋体" w:eastAsia="方正仿宋"/>
        </w:rPr>
        <w:t>（如下图）</w:t>
      </w:r>
    </w:p>
    <w:p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400175" cy="969010"/>
            <wp:effectExtent l="0" t="0" r="0" b="0"/>
            <wp:docPr id="5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69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1962150" cy="968375"/>
            <wp:effectExtent l="0" t="0" r="0" b="0"/>
            <wp:docPr id="5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68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（1）请查看摄像头旁是否有物理开关，请打开。</w:t>
      </w:r>
    </w:p>
    <w:p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069975" cy="764540"/>
            <wp:effectExtent l="0" t="0" r="0" b="0"/>
            <wp:docPr id="5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1266825" cy="749300"/>
            <wp:effectExtent l="0" t="0" r="0" b="0"/>
            <wp:docPr id="59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496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885190" cy="847090"/>
            <wp:effectExtent l="0" t="0" r="0" b="0"/>
            <wp:docPr id="62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（2）查看键盘上的F1-F12按键，是否有相机图案，请按住Fn以及该相机图案键并打开。</w:t>
      </w:r>
    </w:p>
    <w:p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469390" cy="354330"/>
            <wp:effectExtent l="0" t="0" r="0" b="7620"/>
            <wp:docPr id="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（3）如电脑上已安装联想管家、安全卫士等防护软件，请关闭摄像头隐藏功能。</w:t>
      </w:r>
    </w:p>
    <w:p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3093720" cy="2480945"/>
            <wp:effectExtent l="0" t="0" r="11430" b="14605"/>
            <wp:docPr id="6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480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left="0" w:leftChars="0" w:firstLine="1063" w:firstLineChars="331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4.2.媒体设备错误无法读取</w:t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（1）【Win10、11系统】开始菜单-相机应用，打开是否能正常看到画面，如果不能，说明电脑设备有故障，请根据提示修复。</w:t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（2）【Win10、11系统】如相机应用内可看到画面，点击“开始”菜单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375275" cy="3698875"/>
            <wp:effectExtent l="0" t="0" r="15875" b="15875"/>
            <wp:docPr id="71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（3）【win7系统】在设备管理器内更新相机驱动，需更新至2017年之后版本。</w:t>
      </w:r>
    </w:p>
    <w:p>
      <w:pPr>
        <w:ind w:left="0" w:leftChars="0" w:firstLine="0" w:firstLineChars="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  <w:jc w:val="center"/>
    </w:pPr>
    <w:r>
      <w:rPr>
        <w:lang w:val="zh-CN"/>
      </w:rPr>
      <w:t xml:space="preserve"> </w:t>
    </w:r>
    <w:r>
      <w:rPr>
        <w:sz w:val="24"/>
        <w:szCs w:val="24"/>
      </w:rPr>
      <w:fldChar w:fldCharType="begin"/>
    </w:r>
    <w:r>
      <w:instrText xml:space="preserve">PAGE</w:instrText>
    </w:r>
    <w:r>
      <w:rPr>
        <w:sz w:val="24"/>
        <w:szCs w:val="24"/>
      </w:rPr>
      <w:fldChar w:fldCharType="separate"/>
    </w:r>
    <w:r>
      <w:t>3</w:t>
    </w:r>
    <w:r>
      <w:rPr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sz w:val="24"/>
        <w:szCs w:val="24"/>
      </w:rPr>
      <w:fldChar w:fldCharType="begin"/>
    </w:r>
    <w:r>
      <w:instrText xml:space="preserve">NUMPAGES</w:instrText>
    </w:r>
    <w:r>
      <w:rPr>
        <w:sz w:val="24"/>
        <w:szCs w:val="24"/>
      </w:rPr>
      <w:fldChar w:fldCharType="separate"/>
    </w:r>
    <w:r>
      <w:t>11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2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5AAD"/>
    <w:rsid w:val="000805B8"/>
    <w:rsid w:val="00082847"/>
    <w:rsid w:val="00086D55"/>
    <w:rsid w:val="00094A0B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3C46"/>
    <w:rsid w:val="000E6531"/>
    <w:rsid w:val="000E7296"/>
    <w:rsid w:val="000F10A6"/>
    <w:rsid w:val="000F1198"/>
    <w:rsid w:val="000F4B7F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E7517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C72F9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E52EF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49FB"/>
    <w:rsid w:val="003856E6"/>
    <w:rsid w:val="00395E86"/>
    <w:rsid w:val="003A15D1"/>
    <w:rsid w:val="003A2BF1"/>
    <w:rsid w:val="003A6C2F"/>
    <w:rsid w:val="003B02EE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38BC"/>
    <w:rsid w:val="00417102"/>
    <w:rsid w:val="00417D60"/>
    <w:rsid w:val="004257F8"/>
    <w:rsid w:val="004267B9"/>
    <w:rsid w:val="0043002D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10A96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75C4C"/>
    <w:rsid w:val="0069163A"/>
    <w:rsid w:val="00693ACB"/>
    <w:rsid w:val="00696640"/>
    <w:rsid w:val="006A0A92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500A"/>
    <w:rsid w:val="006F07C1"/>
    <w:rsid w:val="006F13B1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41708"/>
    <w:rsid w:val="00747464"/>
    <w:rsid w:val="00752200"/>
    <w:rsid w:val="00752770"/>
    <w:rsid w:val="00760B6F"/>
    <w:rsid w:val="00763AA4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55ED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1DED"/>
    <w:rsid w:val="008E2F2C"/>
    <w:rsid w:val="008E4CF3"/>
    <w:rsid w:val="008E753D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06D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E1C54"/>
    <w:rsid w:val="009E204F"/>
    <w:rsid w:val="009E30DA"/>
    <w:rsid w:val="009E4B92"/>
    <w:rsid w:val="009E4F23"/>
    <w:rsid w:val="009F2C38"/>
    <w:rsid w:val="00A00A86"/>
    <w:rsid w:val="00A05387"/>
    <w:rsid w:val="00A05B5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44F4"/>
    <w:rsid w:val="00A60136"/>
    <w:rsid w:val="00A66237"/>
    <w:rsid w:val="00A670C9"/>
    <w:rsid w:val="00A748BC"/>
    <w:rsid w:val="00A74AE3"/>
    <w:rsid w:val="00A74E51"/>
    <w:rsid w:val="00A8243F"/>
    <w:rsid w:val="00A82FCA"/>
    <w:rsid w:val="00AA080C"/>
    <w:rsid w:val="00AA4BE7"/>
    <w:rsid w:val="00AA79BB"/>
    <w:rsid w:val="00AB4F29"/>
    <w:rsid w:val="00AC01B0"/>
    <w:rsid w:val="00AC2C70"/>
    <w:rsid w:val="00AC6B87"/>
    <w:rsid w:val="00AD2CE4"/>
    <w:rsid w:val="00AE1A40"/>
    <w:rsid w:val="00AF10E7"/>
    <w:rsid w:val="00AF35F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2C0B"/>
    <w:rsid w:val="00B337EB"/>
    <w:rsid w:val="00B41C12"/>
    <w:rsid w:val="00B44AE7"/>
    <w:rsid w:val="00B476C6"/>
    <w:rsid w:val="00B5412F"/>
    <w:rsid w:val="00B55AAB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DF6A50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374A"/>
    <w:rsid w:val="00FE056E"/>
    <w:rsid w:val="00FE1C57"/>
    <w:rsid w:val="00FF5C33"/>
    <w:rsid w:val="00FF6663"/>
    <w:rsid w:val="00FF7324"/>
    <w:rsid w:val="031F13BF"/>
    <w:rsid w:val="05BC498F"/>
    <w:rsid w:val="05D03F7E"/>
    <w:rsid w:val="062E067F"/>
    <w:rsid w:val="06D81011"/>
    <w:rsid w:val="07AE6595"/>
    <w:rsid w:val="09AB4FC4"/>
    <w:rsid w:val="0C763697"/>
    <w:rsid w:val="0C7A0C2D"/>
    <w:rsid w:val="0DF05F6F"/>
    <w:rsid w:val="0F276B2A"/>
    <w:rsid w:val="14A71A82"/>
    <w:rsid w:val="14C50133"/>
    <w:rsid w:val="14EC447B"/>
    <w:rsid w:val="153B3C08"/>
    <w:rsid w:val="1631071F"/>
    <w:rsid w:val="17975BFB"/>
    <w:rsid w:val="17AD0544"/>
    <w:rsid w:val="18F91185"/>
    <w:rsid w:val="18FA37AC"/>
    <w:rsid w:val="19D16C6A"/>
    <w:rsid w:val="19F31CD4"/>
    <w:rsid w:val="1BA638CA"/>
    <w:rsid w:val="1BD71918"/>
    <w:rsid w:val="1CCC2A48"/>
    <w:rsid w:val="202B4F8F"/>
    <w:rsid w:val="217B16CE"/>
    <w:rsid w:val="22A26D1E"/>
    <w:rsid w:val="23084F32"/>
    <w:rsid w:val="23714E5C"/>
    <w:rsid w:val="259E77F9"/>
    <w:rsid w:val="265B7D18"/>
    <w:rsid w:val="27486482"/>
    <w:rsid w:val="27F16857"/>
    <w:rsid w:val="2B825D8A"/>
    <w:rsid w:val="2D6B72DA"/>
    <w:rsid w:val="2E401CD8"/>
    <w:rsid w:val="30926979"/>
    <w:rsid w:val="31724B4F"/>
    <w:rsid w:val="356277D7"/>
    <w:rsid w:val="35FB3DFD"/>
    <w:rsid w:val="361A7120"/>
    <w:rsid w:val="36447083"/>
    <w:rsid w:val="36D572DA"/>
    <w:rsid w:val="37C459C4"/>
    <w:rsid w:val="3B184EC9"/>
    <w:rsid w:val="3DAF59EF"/>
    <w:rsid w:val="3F49254A"/>
    <w:rsid w:val="3FEB1911"/>
    <w:rsid w:val="41F1330B"/>
    <w:rsid w:val="449A5D6E"/>
    <w:rsid w:val="45B75FA3"/>
    <w:rsid w:val="46316866"/>
    <w:rsid w:val="47B232E5"/>
    <w:rsid w:val="48430251"/>
    <w:rsid w:val="4AE769F1"/>
    <w:rsid w:val="4CD3647F"/>
    <w:rsid w:val="4DEF4266"/>
    <w:rsid w:val="4FD6553C"/>
    <w:rsid w:val="52004142"/>
    <w:rsid w:val="520147CD"/>
    <w:rsid w:val="536A1D08"/>
    <w:rsid w:val="53CD0474"/>
    <w:rsid w:val="56100483"/>
    <w:rsid w:val="57961CB6"/>
    <w:rsid w:val="58536AB2"/>
    <w:rsid w:val="58F31BB9"/>
    <w:rsid w:val="594A7941"/>
    <w:rsid w:val="5A623525"/>
    <w:rsid w:val="5C4123AE"/>
    <w:rsid w:val="65E66507"/>
    <w:rsid w:val="67F87EA2"/>
    <w:rsid w:val="68881312"/>
    <w:rsid w:val="69826F93"/>
    <w:rsid w:val="6AFE0B15"/>
    <w:rsid w:val="6B265157"/>
    <w:rsid w:val="70736EB2"/>
    <w:rsid w:val="70B614CB"/>
    <w:rsid w:val="7173558F"/>
    <w:rsid w:val="723C2441"/>
    <w:rsid w:val="73BA2088"/>
    <w:rsid w:val="74453043"/>
    <w:rsid w:val="745A1118"/>
    <w:rsid w:val="74726EAF"/>
    <w:rsid w:val="74E536F3"/>
    <w:rsid w:val="773B3A2B"/>
    <w:rsid w:val="77A123AF"/>
    <w:rsid w:val="79855515"/>
    <w:rsid w:val="7A746038"/>
    <w:rsid w:val="7A8F2A16"/>
    <w:rsid w:val="7CD57811"/>
    <w:rsid w:val="7E36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160" w:line="278" w:lineRule="auto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before="100" w:beforeAutospacing="1" w:after="100" w:afterAutospacing="1" w:line="278" w:lineRule="auto"/>
      <w:outlineLvl w:val="0"/>
    </w:pPr>
    <w:rPr>
      <w:rFonts w:asciiTheme="minorHAnsi" w:hAnsiTheme="minorHAnsi" w:eastAsiaTheme="minorEastAsia" w:cstheme="minorBidi"/>
      <w:b/>
      <w:bCs/>
      <w:kern w:val="44"/>
      <w:szCs w:val="44"/>
      <w:lang w:val="en-US" w:eastAsia="zh-CN" w:bidi="ar-SA"/>
    </w:rPr>
  </w:style>
  <w:style w:type="paragraph" w:styleId="3">
    <w:name w:val="heading 2"/>
    <w:next w:val="1"/>
    <w:unhideWhenUsed/>
    <w:qFormat/>
    <w:uiPriority w:val="0"/>
    <w:pPr>
      <w:keepNext/>
      <w:keepLines/>
      <w:spacing w:before="120" w:after="50" w:afterLines="50" w:line="278" w:lineRule="auto"/>
      <w:outlineLvl w:val="1"/>
    </w:pPr>
    <w:rPr>
      <w:rFonts w:asciiTheme="majorHAnsi" w:hAnsiTheme="majorHAnsi" w:eastAsiaTheme="majorEastAsia" w:cstheme="majorBidi"/>
      <w:b/>
      <w:bCs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0"/>
    <w:pPr>
      <w:keepNext/>
      <w:keepLines/>
      <w:spacing w:after="160" w:line="278" w:lineRule="auto"/>
      <w:outlineLvl w:val="2"/>
    </w:pPr>
    <w:rPr>
      <w:rFonts w:asciiTheme="minorHAnsi" w:hAnsiTheme="minorHAnsi" w:eastAsiaTheme="minorEastAsia" w:cstheme="minorBidi"/>
      <w:b/>
      <w:bCs/>
      <w:szCs w:val="32"/>
      <w:lang w:val="en-US" w:eastAsia="zh-CN" w:bidi="ar-SA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next w:val="6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b/>
      <w:bCs/>
      <w:lang w:val="en-US" w:eastAsia="zh-CN" w:bidi="ar-SA"/>
    </w:rPr>
  </w:style>
  <w:style w:type="paragraph" w:styleId="6">
    <w:name w:val="annotation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7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8">
    <w:name w:val="endnote text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9">
    <w:name w:val="Balloon Text"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0">
    <w:name w:val="footer"/>
    <w:qFormat/>
    <w:uiPriority w:val="99"/>
    <w:pPr>
      <w:tabs>
        <w:tab w:val="center" w:pos="4153"/>
        <w:tab w:val="right" w:pos="8306"/>
      </w:tabs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1">
    <w:name w:val="header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after="160" w:line="278" w:lineRule="auto"/>
      <w:jc w:val="center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2">
    <w:name w:val="footnote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4">
    <w:name w:val="Title"/>
    <w:qFormat/>
    <w:uiPriority w:val="0"/>
    <w:pPr>
      <w:spacing w:before="240" w:after="60" w:line="278" w:lineRule="auto"/>
      <w:jc w:val="center"/>
      <w:outlineLvl w:val="0"/>
    </w:pPr>
    <w:rPr>
      <w:rFonts w:asciiTheme="majorHAnsi" w:hAnsiTheme="majorHAnsi" w:eastAsiaTheme="minorEastAsia" w:cstheme="majorBidi"/>
      <w:b/>
      <w:bCs/>
      <w:sz w:val="32"/>
      <w:szCs w:val="32"/>
      <w:lang w:val="en-US" w:eastAsia="zh-CN" w:bidi="ar-SA"/>
    </w:rPr>
  </w:style>
  <w:style w:type="character" w:styleId="16">
    <w:name w:val="Strong"/>
    <w:basedOn w:val="15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7">
    <w:name w:val="endnote reference"/>
    <w:basedOn w:val="15"/>
    <w:semiHidden/>
    <w:unhideWhenUsed/>
    <w:qFormat/>
    <w:uiPriority w:val="0"/>
    <w:rPr>
      <w:vertAlign w:val="superscript"/>
    </w:rPr>
  </w:style>
  <w:style w:type="character" w:styleId="18">
    <w:name w:val="FollowedHyperlink"/>
    <w:basedOn w:val="15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Emphasis"/>
    <w:basedOn w:val="15"/>
    <w:qFormat/>
    <w:uiPriority w:val="20"/>
    <w:rPr>
      <w:color w:val="CC0000"/>
    </w:rPr>
  </w:style>
  <w:style w:type="character" w:styleId="20">
    <w:name w:val="Hyperlink"/>
    <w:basedOn w:val="15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5"/>
    <w:semiHidden/>
    <w:unhideWhenUsed/>
    <w:qFormat/>
    <w:uiPriority w:val="0"/>
    <w:rPr>
      <w:sz w:val="16"/>
      <w:szCs w:val="16"/>
    </w:rPr>
  </w:style>
  <w:style w:type="character" w:styleId="22">
    <w:name w:val="footnote reference"/>
    <w:basedOn w:val="15"/>
    <w:semiHidden/>
    <w:unhideWhenUsed/>
    <w:qFormat/>
    <w:uiPriority w:val="0"/>
    <w:rPr>
      <w:vertAlign w:val="superscript"/>
    </w:rPr>
  </w:style>
  <w:style w:type="table" w:styleId="24">
    <w:name w:val="Table Grid"/>
    <w:basedOn w:val="2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25">
    <w:name w:val="标题 1 Char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26">
    <w:name w:val="批注文字 Char"/>
    <w:qFormat/>
    <w:uiPriority w:val="0"/>
    <w:rPr>
      <w:rFonts w:ascii="宋体" w:hAnsi="宋体" w:eastAsia="宋体" w:cs="宋体"/>
    </w:rPr>
  </w:style>
  <w:style w:type="paragraph" w:customStyle="1" w:styleId="27">
    <w:name w:val="Revision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28">
    <w:name w:val="标题 Char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9">
    <w:name w:val="脚注文本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0">
    <w:name w:val="批注框文本 Char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1">
    <w:name w:val="网格表 5 深色 - 着色 21"/>
    <w:basedOn w:val="23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character" w:customStyle="1" w:styleId="32">
    <w:name w:val="页脚 Char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3">
    <w:name w:val="页眉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4">
    <w:name w:val="页眉 Char1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5">
    <w:name w:val="网格表 5 深色 - 着色 31"/>
    <w:basedOn w:val="23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character" w:customStyle="1" w:styleId="36">
    <w:name w:val="标题 2 Char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7">
    <w:name w:val="批注主题 Char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8">
    <w:name w:val="修订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页脚 Char1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40">
    <w:name w:val="标题 3 Char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1">
    <w:name w:val="尾注文本 Char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2">
    <w:name w:val="批注框文本 Char1"/>
    <w:qFormat/>
    <w:uiPriority w:val="0"/>
    <w:rPr>
      <w:rFonts w:ascii="宋体" w:hAnsi="宋体" w:eastAsia="宋体" w:cs="宋体"/>
      <w:sz w:val="18"/>
      <w:szCs w:val="18"/>
    </w:rPr>
  </w:style>
  <w:style w:type="paragraph" w:styleId="43">
    <w:name w:val="List Paragraph"/>
    <w:basedOn w:val="1"/>
    <w:qFormat/>
    <w:uiPriority w:val="34"/>
    <w:pPr>
      <w:ind w:left="200" w:hanging="200"/>
    </w:pPr>
  </w:style>
  <w:style w:type="character" w:customStyle="1" w:styleId="44">
    <w:name w:val="标题 3 Char1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5">
    <w:name w:val="脚注文本 Char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6">
    <w:name w:val="批注主题 Char1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47">
    <w:name w:val="Revision1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8">
    <w:name w:val="标题 2 Char1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table" w:customStyle="1" w:styleId="49">
    <w:name w:val="网格表 4 - 着色 21"/>
    <w:basedOn w:val="23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  <w:tblLayout w:type="fixed"/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character" w:customStyle="1" w:styleId="50">
    <w:name w:val="未处理的提及1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1">
    <w:name w:val="尾注文本 Char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customStyle="1" w:styleId="52">
    <w:name w:val="Revision2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53">
    <w:name w:val="Unresolved Mention1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4">
    <w:name w:val="批注文字 Char1"/>
    <w:qFormat/>
    <w:uiPriority w:val="0"/>
    <w:rPr>
      <w:rFonts w:ascii="宋体" w:hAnsi="宋体" w:eastAsia="宋体" w:cs="宋体"/>
    </w:rPr>
  </w:style>
  <w:style w:type="character" w:customStyle="1" w:styleId="55">
    <w:name w:val="标题 Char1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56">
    <w:name w:val="标题 1 Char1"/>
    <w:qFormat/>
    <w:uiPriority w:val="0"/>
    <w:rPr>
      <w:rFonts w:cs="宋体"/>
      <w:b/>
      <w:bCs/>
      <w:kern w:val="44"/>
      <w:sz w:val="21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3112</Words>
  <Characters>3329</Characters>
  <Lines>26</Lines>
  <Paragraphs>7</Paragraphs>
  <TotalTime>8</TotalTime>
  <ScaleCrop>false</ScaleCrop>
  <LinksUpToDate>false</LinksUpToDate>
  <CharactersWithSpaces>3459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2024-09-14T06:45:00Z</dcterms:created>
  <dc:creator>Administrator</dc:creator>
  <cp:lastModifiedBy>cjzjcy-liqin</cp:lastModifiedBy>
  <dcterms:modified xsi:type="dcterms:W3CDTF">2025-12-29T12:07:37Z</dcterms:modified>
  <dc:title>附件2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  <property fmtid="{D5CDD505-2E9C-101B-9397-08002B2CF9AE}" pid="3" name="ICV">
    <vt:lpwstr>345C69A1E6844070A94F0BDDFE060E04_13</vt:lpwstr>
  </property>
  <property fmtid="{D5CDD505-2E9C-101B-9397-08002B2CF9AE}" pid="4" name="KSOTemplateDocerSaveRecord">
    <vt:lpwstr>eyJoZGlkIjoiYWFiMDkyZTQ1NzlmMWY3NDlkZWQyYTM1YzE5ZTViNjUiLCJ1c2VySWQiOiI0MDk3ODA0NDkifQ==</vt:lpwstr>
  </property>
</Properties>
</file>