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8CF6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0" w:afterAutospacing="0" w:line="560" w:lineRule="exact"/>
        <w:ind w:right="0"/>
        <w:jc w:val="left"/>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附件1</w:t>
      </w:r>
    </w:p>
    <w:p w14:paraId="2AA90B1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0" w:afterAutospacing="0" w:line="560" w:lineRule="exact"/>
        <w:ind w:right="0"/>
        <w:jc w:val="center"/>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b/>
          <w:bCs/>
          <w:i w:val="0"/>
          <w:iCs w:val="0"/>
          <w:caps w:val="0"/>
          <w:color w:val="0F1115"/>
          <w:spacing w:val="0"/>
          <w:sz w:val="32"/>
          <w:szCs w:val="32"/>
          <w:shd w:val="clear" w:fill="FFFFFF"/>
          <w:lang w:val="en-US" w:eastAsia="zh-CN"/>
        </w:rPr>
        <w:t>招聘岗位需求明细表</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728"/>
        <w:gridCol w:w="921"/>
        <w:gridCol w:w="1443"/>
        <w:gridCol w:w="668"/>
        <w:gridCol w:w="4254"/>
        <w:gridCol w:w="1353"/>
        <w:gridCol w:w="4807"/>
      </w:tblGrid>
      <w:tr w14:paraId="5D8F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728" w:type="dxa"/>
            <w:vAlign w:val="center"/>
          </w:tcPr>
          <w:p w14:paraId="518EE1F5">
            <w:pPr>
              <w:snapToGrid w:val="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序号</w:t>
            </w:r>
          </w:p>
        </w:tc>
        <w:tc>
          <w:tcPr>
            <w:tcW w:w="921" w:type="dxa"/>
            <w:vAlign w:val="center"/>
          </w:tcPr>
          <w:p w14:paraId="308A89C5">
            <w:pPr>
              <w:snapToGrid w:val="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部门</w:t>
            </w:r>
          </w:p>
        </w:tc>
        <w:tc>
          <w:tcPr>
            <w:tcW w:w="1443" w:type="dxa"/>
            <w:vAlign w:val="center"/>
          </w:tcPr>
          <w:p w14:paraId="5BAD203E">
            <w:pPr>
              <w:snapToGrid w:val="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招聘岗位</w:t>
            </w:r>
          </w:p>
        </w:tc>
        <w:tc>
          <w:tcPr>
            <w:tcW w:w="668" w:type="dxa"/>
            <w:vAlign w:val="center"/>
          </w:tcPr>
          <w:p w14:paraId="6734A5B4">
            <w:pPr>
              <w:snapToGrid w:val="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招聘计划</w:t>
            </w:r>
          </w:p>
        </w:tc>
        <w:tc>
          <w:tcPr>
            <w:tcW w:w="4254" w:type="dxa"/>
            <w:vAlign w:val="center"/>
          </w:tcPr>
          <w:p w14:paraId="1EF1B117">
            <w:pPr>
              <w:snapToGrid w:val="0"/>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岗位职责</w:t>
            </w:r>
          </w:p>
        </w:tc>
        <w:tc>
          <w:tcPr>
            <w:tcW w:w="1353" w:type="dxa"/>
            <w:vAlign w:val="center"/>
          </w:tcPr>
          <w:p w14:paraId="7638E36D">
            <w:pPr>
              <w:snapToGrid w:val="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薪酬待遇</w:t>
            </w:r>
          </w:p>
          <w:p w14:paraId="2B0DBCD0">
            <w:pPr>
              <w:snapToGrid w:val="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（暂定）</w:t>
            </w:r>
          </w:p>
        </w:tc>
        <w:tc>
          <w:tcPr>
            <w:tcW w:w="4807" w:type="dxa"/>
            <w:vAlign w:val="center"/>
          </w:tcPr>
          <w:p w14:paraId="16CA726D">
            <w:pPr>
              <w:snapToGrid w:val="0"/>
              <w:jc w:val="center"/>
              <w:rPr>
                <w:rFonts w:hint="eastAsia" w:ascii="宋体" w:hAnsi="宋体" w:eastAsia="宋体" w:cs="宋体"/>
                <w:b/>
                <w:sz w:val="24"/>
                <w:szCs w:val="24"/>
                <w:vertAlign w:val="baseline"/>
              </w:rPr>
            </w:pPr>
            <w:r>
              <w:rPr>
                <w:rFonts w:hint="eastAsia" w:ascii="宋体" w:hAnsi="宋体" w:eastAsia="宋体" w:cs="宋体"/>
                <w:b/>
                <w:sz w:val="24"/>
                <w:szCs w:val="24"/>
                <w:vertAlign w:val="baseline"/>
                <w:lang w:val="en-US" w:eastAsia="zh-CN"/>
              </w:rPr>
              <w:t>招聘要求</w:t>
            </w:r>
          </w:p>
        </w:tc>
      </w:tr>
      <w:tr w14:paraId="09A0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512" w:hRule="atLeast"/>
          <w:jc w:val="center"/>
        </w:trPr>
        <w:tc>
          <w:tcPr>
            <w:tcW w:w="728" w:type="dxa"/>
            <w:shd w:val="clear" w:color="auto" w:fill="E7E6E6" w:themeFill="background2"/>
            <w:vAlign w:val="center"/>
          </w:tcPr>
          <w:p w14:paraId="3CA6C202">
            <w:pPr>
              <w:snapToGrid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w:t>
            </w:r>
          </w:p>
        </w:tc>
        <w:tc>
          <w:tcPr>
            <w:tcW w:w="921" w:type="dxa"/>
            <w:shd w:val="clear" w:color="auto" w:fill="E7E6E6" w:themeFill="background2"/>
            <w:vAlign w:val="center"/>
          </w:tcPr>
          <w:p w14:paraId="77154EA8">
            <w:pPr>
              <w:snapToGrid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总公司</w:t>
            </w:r>
          </w:p>
        </w:tc>
        <w:tc>
          <w:tcPr>
            <w:tcW w:w="1443" w:type="dxa"/>
            <w:shd w:val="clear" w:color="auto" w:fill="E7E6E6" w:themeFill="background2"/>
            <w:vAlign w:val="center"/>
          </w:tcPr>
          <w:p w14:paraId="440B3CB3">
            <w:pPr>
              <w:snapToGrid w:val="0"/>
              <w:jc w:val="center"/>
              <w:rPr>
                <w:rFonts w:hint="eastAsia" w:ascii="宋体" w:hAnsi="宋体" w:eastAsia="宋体" w:cs="宋体"/>
                <w:sz w:val="24"/>
                <w:szCs w:val="24"/>
                <w:vertAlign w:val="baseline"/>
                <w:lang w:val="en-US" w:eastAsia="zh-CN"/>
              </w:rPr>
            </w:pPr>
          </w:p>
        </w:tc>
        <w:tc>
          <w:tcPr>
            <w:tcW w:w="668" w:type="dxa"/>
            <w:shd w:val="clear" w:color="auto" w:fill="E7E6E6" w:themeFill="background2"/>
            <w:vAlign w:val="center"/>
          </w:tcPr>
          <w:p w14:paraId="24B59F31">
            <w:pPr>
              <w:snapToGrid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4254" w:type="dxa"/>
            <w:shd w:val="clear" w:color="auto" w:fill="E7E6E6" w:themeFill="background2"/>
            <w:vAlign w:val="center"/>
          </w:tcPr>
          <w:p w14:paraId="5F1E958C">
            <w:pPr>
              <w:snapToGrid w:val="0"/>
              <w:jc w:val="left"/>
              <w:rPr>
                <w:rFonts w:hint="eastAsia" w:ascii="宋体" w:hAnsi="宋体" w:eastAsia="宋体" w:cs="宋体"/>
                <w:sz w:val="24"/>
                <w:szCs w:val="24"/>
                <w:vertAlign w:val="baseline"/>
                <w:lang w:val="en-US" w:eastAsia="zh-CN"/>
              </w:rPr>
            </w:pPr>
          </w:p>
        </w:tc>
        <w:tc>
          <w:tcPr>
            <w:tcW w:w="1353" w:type="dxa"/>
            <w:shd w:val="clear" w:color="auto" w:fill="E7E6E6" w:themeFill="background2"/>
            <w:vAlign w:val="center"/>
          </w:tcPr>
          <w:p w14:paraId="5D68E822">
            <w:pPr>
              <w:snapToGrid w:val="0"/>
              <w:jc w:val="right"/>
              <w:rPr>
                <w:rFonts w:hint="eastAsia" w:ascii="宋体" w:hAnsi="宋体" w:eastAsia="宋体" w:cs="宋体"/>
                <w:sz w:val="24"/>
                <w:szCs w:val="24"/>
                <w:vertAlign w:val="baseline"/>
                <w:lang w:val="en-US" w:eastAsia="zh-CN"/>
              </w:rPr>
            </w:pPr>
          </w:p>
        </w:tc>
        <w:tc>
          <w:tcPr>
            <w:tcW w:w="4807" w:type="dxa"/>
            <w:shd w:val="clear" w:color="auto" w:fill="E7E6E6" w:themeFill="background2"/>
            <w:vAlign w:val="center"/>
          </w:tcPr>
          <w:p w14:paraId="4001DBE6">
            <w:pPr>
              <w:snapToGrid w:val="0"/>
              <w:jc w:val="left"/>
              <w:rPr>
                <w:rFonts w:hint="eastAsia" w:ascii="宋体" w:hAnsi="宋体" w:eastAsia="宋体" w:cs="宋体"/>
                <w:sz w:val="24"/>
                <w:szCs w:val="24"/>
                <w:vertAlign w:val="baseline"/>
                <w:lang w:val="en-US" w:eastAsia="zh-CN"/>
              </w:rPr>
            </w:pPr>
          </w:p>
        </w:tc>
      </w:tr>
      <w:tr w14:paraId="3D43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728" w:type="dxa"/>
            <w:shd w:val="clear" w:color="auto" w:fill="auto"/>
            <w:vAlign w:val="center"/>
          </w:tcPr>
          <w:p w14:paraId="6FFB6C75">
            <w:pPr>
              <w:snapToGrid w:val="0"/>
              <w:ind w:firstLine="218" w:firstLineChars="100"/>
              <w:jc w:val="both"/>
              <w:rPr>
                <w:rFonts w:hint="default" w:ascii="宋体" w:hAnsi="宋体" w:eastAsia="宋体" w:cs="宋体"/>
                <w:spacing w:val="-6"/>
                <w:w w:val="96"/>
                <w:kern w:val="2"/>
                <w:sz w:val="24"/>
                <w:szCs w:val="24"/>
                <w:vertAlign w:val="baseline"/>
                <w:lang w:val="en-US" w:eastAsia="zh-CN" w:bidi="ar-SA"/>
              </w:rPr>
            </w:pPr>
            <w:r>
              <w:rPr>
                <w:rFonts w:hint="eastAsia" w:ascii="宋体" w:hAnsi="宋体" w:eastAsia="宋体" w:cs="宋体"/>
                <w:spacing w:val="-6"/>
                <w:w w:val="96"/>
                <w:kern w:val="2"/>
                <w:sz w:val="24"/>
                <w:szCs w:val="24"/>
                <w:vertAlign w:val="baseline"/>
                <w:lang w:val="en-US" w:eastAsia="zh-CN" w:bidi="ar-SA"/>
              </w:rPr>
              <w:t>1</w:t>
            </w:r>
          </w:p>
        </w:tc>
        <w:tc>
          <w:tcPr>
            <w:tcW w:w="921" w:type="dxa"/>
            <w:shd w:val="clear" w:color="auto" w:fill="auto"/>
            <w:vAlign w:val="center"/>
          </w:tcPr>
          <w:p w14:paraId="3EB19F80">
            <w:pPr>
              <w:snapToGrid w:val="0"/>
              <w:jc w:val="center"/>
              <w:rPr>
                <w:rFonts w:hint="eastAsia" w:ascii="宋体" w:hAnsi="宋体" w:eastAsia="宋体" w:cs="宋体"/>
                <w:sz w:val="24"/>
                <w:szCs w:val="24"/>
                <w:vertAlign w:val="baseline"/>
                <w:lang w:val="en-US" w:eastAsia="zh-CN"/>
              </w:rPr>
            </w:pPr>
          </w:p>
          <w:p w14:paraId="42F2ACA6">
            <w:pPr>
              <w:snapToGrid w:val="0"/>
              <w:jc w:val="both"/>
              <w:rPr>
                <w:rFonts w:hint="eastAsia" w:ascii="宋体" w:hAnsi="宋体" w:eastAsia="宋体" w:cs="宋体"/>
                <w:spacing w:val="-6"/>
                <w:w w:val="96"/>
                <w:kern w:val="2"/>
                <w:sz w:val="24"/>
                <w:szCs w:val="24"/>
                <w:vertAlign w:val="baseline"/>
                <w:lang w:val="en-US" w:eastAsia="zh-CN" w:bidi="ar-SA"/>
              </w:rPr>
            </w:pPr>
            <w:r>
              <w:rPr>
                <w:rFonts w:hint="eastAsia" w:ascii="宋体" w:hAnsi="宋体" w:eastAsia="宋体" w:cs="宋体"/>
                <w:sz w:val="24"/>
                <w:szCs w:val="24"/>
                <w:vertAlign w:val="baseline"/>
                <w:lang w:val="en-US" w:eastAsia="zh-CN"/>
              </w:rPr>
              <w:t>规划发展部</w:t>
            </w:r>
          </w:p>
        </w:tc>
        <w:tc>
          <w:tcPr>
            <w:tcW w:w="1443" w:type="dxa"/>
            <w:shd w:val="clear" w:color="auto" w:fill="auto"/>
            <w:vAlign w:val="center"/>
          </w:tcPr>
          <w:p w14:paraId="7768FDDE">
            <w:pPr>
              <w:snapToGrid w:val="0"/>
              <w:jc w:val="both"/>
              <w:rPr>
                <w:rFonts w:hint="eastAsia" w:ascii="宋体" w:hAnsi="宋体" w:eastAsia="宋体" w:cs="宋体"/>
                <w:spacing w:val="-6"/>
                <w:w w:val="96"/>
                <w:kern w:val="2"/>
                <w:sz w:val="24"/>
                <w:szCs w:val="24"/>
                <w:vertAlign w:val="baseline"/>
                <w:lang w:val="en-US" w:eastAsia="zh-CN" w:bidi="ar-SA"/>
              </w:rPr>
            </w:pPr>
            <w:r>
              <w:rPr>
                <w:rFonts w:hint="eastAsia" w:ascii="宋体" w:hAnsi="宋体" w:eastAsia="宋体" w:cs="宋体"/>
                <w:sz w:val="24"/>
                <w:szCs w:val="24"/>
                <w:vertAlign w:val="baseline"/>
                <w:lang w:val="en-US" w:eastAsia="zh-CN"/>
              </w:rPr>
              <w:t>项目规划岗</w:t>
            </w:r>
          </w:p>
        </w:tc>
        <w:tc>
          <w:tcPr>
            <w:tcW w:w="668" w:type="dxa"/>
            <w:shd w:val="clear" w:color="auto" w:fill="auto"/>
            <w:vAlign w:val="center"/>
          </w:tcPr>
          <w:p w14:paraId="2F254782">
            <w:pPr>
              <w:snapToGrid w:val="0"/>
              <w:spacing w:line="560" w:lineRule="exact"/>
              <w:ind w:firstLine="218" w:firstLineChars="100"/>
              <w:contextualSpacing/>
              <w:jc w:val="both"/>
              <w:rPr>
                <w:rFonts w:hint="eastAsia" w:ascii="宋体" w:hAnsi="宋体" w:eastAsia="宋体" w:cs="宋体"/>
                <w:spacing w:val="-6"/>
                <w:w w:val="96"/>
                <w:kern w:val="2"/>
                <w:sz w:val="24"/>
                <w:szCs w:val="24"/>
                <w:lang w:val="en-US" w:eastAsia="zh-CN" w:bidi="ar-SA"/>
              </w:rPr>
            </w:pPr>
            <w:r>
              <w:rPr>
                <w:rFonts w:hint="eastAsia" w:ascii="宋体" w:hAnsi="宋体" w:eastAsia="宋体" w:cs="宋体"/>
                <w:sz w:val="24"/>
                <w:szCs w:val="24"/>
                <w:lang w:val="en-US" w:eastAsia="zh-CN"/>
              </w:rPr>
              <w:t>1</w:t>
            </w:r>
          </w:p>
        </w:tc>
        <w:tc>
          <w:tcPr>
            <w:tcW w:w="4254" w:type="dxa"/>
            <w:shd w:val="clear" w:color="auto" w:fill="auto"/>
            <w:vAlign w:val="center"/>
          </w:tcPr>
          <w:p w14:paraId="1F2568D9">
            <w:pPr>
              <w:numPr>
                <w:ilvl w:val="0"/>
                <w:numId w:val="1"/>
              </w:numPr>
              <w:snapToGrid w:val="0"/>
              <w:spacing w:line="560" w:lineRule="exact"/>
              <w:contextualSpacing/>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项目前期策划与立项</w:t>
            </w:r>
            <w:r>
              <w:rPr>
                <w:rFonts w:hint="eastAsia" w:ascii="宋体" w:hAnsi="宋体" w:eastAsia="宋体" w:cs="宋体"/>
                <w:sz w:val="24"/>
                <w:szCs w:val="24"/>
                <w:lang w:val="en-US" w:eastAsia="zh-CN"/>
              </w:rPr>
              <w:t>：</w:t>
            </w:r>
          </w:p>
          <w:p w14:paraId="61004DCD">
            <w:pPr>
              <w:numPr>
                <w:ilvl w:val="0"/>
                <w:numId w:val="0"/>
              </w:num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w:t>
            </w:r>
            <w:r>
              <w:rPr>
                <w:rFonts w:hint="default" w:ascii="宋体" w:hAnsi="宋体" w:eastAsia="宋体" w:cs="宋体"/>
                <w:sz w:val="24"/>
                <w:szCs w:val="24"/>
                <w:lang w:val="en-US" w:eastAsia="zh-CN"/>
              </w:rPr>
              <w:t>协助项目需求部门开展项目前期调研工作，收集整理项目相关信息</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组织编写项目可行性研究报告与项目建议书，对项目的必要性、可行性、合理性进行全面论证与分析评估</w:t>
            </w:r>
            <w:r>
              <w:rPr>
                <w:rFonts w:hint="eastAsia" w:ascii="宋体" w:hAnsi="宋体" w:eastAsia="宋体" w:cs="宋体"/>
                <w:sz w:val="24"/>
                <w:szCs w:val="24"/>
                <w:lang w:val="en-US" w:eastAsia="zh-CN"/>
              </w:rPr>
              <w:t>。</w:t>
            </w:r>
          </w:p>
          <w:p w14:paraId="30B13EDA">
            <w:pPr>
              <w:numPr>
                <w:ilvl w:val="0"/>
                <w:numId w:val="0"/>
              </w:num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w:t>
            </w:r>
            <w:r>
              <w:rPr>
                <w:rFonts w:hint="default" w:ascii="宋体" w:hAnsi="宋体" w:eastAsia="宋体" w:cs="宋体"/>
                <w:sz w:val="24"/>
                <w:szCs w:val="24"/>
                <w:lang w:val="en-US" w:eastAsia="zh-CN"/>
              </w:rPr>
              <w:t>负责项目立项申报工作，按照企业项目管理规定与流程，准备立项申报材料，协调相关部门进行项目评审与审批，跟进项目立项进度，确保项目顺利获得批准立项</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 协调工作：负责与政府相关部门对接项目前期事宜；</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 其他工作：做好公司所有相关机密文件的保密工作及完成上级领导交办的其他任务。</w:t>
            </w:r>
          </w:p>
          <w:p w14:paraId="18147288">
            <w:pPr>
              <w:numPr>
                <w:ilvl w:val="0"/>
                <w:numId w:val="0"/>
              </w:numPr>
              <w:snapToGrid w:val="0"/>
              <w:spacing w:line="560" w:lineRule="exact"/>
              <w:ind w:left="0" w:leftChars="0" w:firstLine="0" w:firstLineChars="0"/>
              <w:contextualSpacing/>
              <w:jc w:val="left"/>
              <w:rPr>
                <w:rFonts w:hint="eastAsia" w:ascii="宋体" w:hAnsi="宋体" w:eastAsia="宋体" w:cs="宋体"/>
                <w:spacing w:val="-6"/>
                <w:w w:val="96"/>
                <w:kern w:val="2"/>
                <w:sz w:val="24"/>
                <w:szCs w:val="24"/>
                <w:lang w:val="en-US" w:eastAsia="zh-CN" w:bidi="ar-SA"/>
              </w:rPr>
            </w:pPr>
          </w:p>
        </w:tc>
        <w:tc>
          <w:tcPr>
            <w:tcW w:w="1353" w:type="dxa"/>
            <w:shd w:val="clear" w:color="auto" w:fill="auto"/>
            <w:vAlign w:val="center"/>
          </w:tcPr>
          <w:p w14:paraId="30507960">
            <w:pPr>
              <w:snapToGrid w:val="0"/>
              <w:jc w:val="right"/>
              <w:rPr>
                <w:rFonts w:hint="eastAsia" w:ascii="宋体" w:hAnsi="宋体" w:eastAsia="宋体" w:cs="宋体"/>
                <w:sz w:val="24"/>
                <w:szCs w:val="24"/>
                <w:vertAlign w:val="baseline"/>
                <w:lang w:val="en-US" w:eastAsia="zh-CN"/>
              </w:rPr>
            </w:pPr>
          </w:p>
          <w:p w14:paraId="67A19C9A">
            <w:pPr>
              <w:snapToGrid w:val="0"/>
              <w:jc w:val="center"/>
              <w:rPr>
                <w:rFonts w:hint="eastAsia" w:ascii="宋体" w:hAnsi="宋体" w:eastAsia="宋体" w:cs="宋体"/>
                <w:spacing w:val="-6"/>
                <w:w w:val="96"/>
                <w:kern w:val="2"/>
                <w:sz w:val="24"/>
                <w:szCs w:val="24"/>
                <w:vertAlign w:val="baseline"/>
                <w:lang w:val="en-US" w:eastAsia="zh-CN" w:bidi="ar-SA"/>
              </w:rPr>
            </w:pPr>
            <w:r>
              <w:rPr>
                <w:rFonts w:hint="eastAsia" w:ascii="宋体" w:hAnsi="宋体" w:eastAsia="宋体" w:cs="宋体"/>
                <w:sz w:val="24"/>
                <w:szCs w:val="24"/>
                <w:vertAlign w:val="baseline"/>
                <w:lang w:val="en-US" w:eastAsia="zh-CN"/>
              </w:rPr>
              <w:t>9-14万/年</w:t>
            </w:r>
          </w:p>
        </w:tc>
        <w:tc>
          <w:tcPr>
            <w:tcW w:w="4807" w:type="dxa"/>
            <w:shd w:val="clear" w:color="auto" w:fill="auto"/>
            <w:vAlign w:val="center"/>
          </w:tcPr>
          <w:p w14:paraId="6559D7E4">
            <w:pPr>
              <w:numPr>
                <w:ilvl w:val="0"/>
                <w:numId w:val="0"/>
              </w:numPr>
              <w:snapToGrid w:val="0"/>
              <w:spacing w:line="560" w:lineRule="exact"/>
              <w:contextualSpacing/>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1.学历与专业要求</w:t>
            </w:r>
            <w:r>
              <w:rPr>
                <w:rFonts w:hint="eastAsia" w:ascii="宋体" w:hAnsi="宋体" w:eastAsia="宋体" w:cs="宋体"/>
                <w:sz w:val="24"/>
                <w:szCs w:val="24"/>
                <w:lang w:val="en-US" w:eastAsia="zh-CN"/>
              </w:rPr>
              <w:t>：</w:t>
            </w:r>
            <w:r>
              <w:rPr>
                <w:rFonts w:hint="eastAsia" w:ascii="宋体" w:hAnsi="宋体" w:eastAsia="宋体" w:cs="宋体"/>
                <w:color w:val="auto"/>
                <w:sz w:val="24"/>
                <w:szCs w:val="24"/>
                <w:lang w:val="en-US" w:eastAsia="zh-CN"/>
              </w:rPr>
              <w:t>专</w:t>
            </w:r>
            <w:r>
              <w:rPr>
                <w:rFonts w:hint="eastAsia" w:ascii="宋体" w:hAnsi="宋体" w:eastAsia="宋体" w:cs="宋体"/>
                <w:color w:val="auto"/>
                <w:sz w:val="24"/>
                <w:szCs w:val="24"/>
                <w:highlight w:val="none"/>
                <w:lang w:val="en-US" w:eastAsia="zh-CN"/>
              </w:rPr>
              <w:t>科</w:t>
            </w:r>
            <w:r>
              <w:rPr>
                <w:rFonts w:hint="default" w:ascii="宋体" w:hAnsi="宋体" w:eastAsia="宋体" w:cs="宋体"/>
                <w:sz w:val="24"/>
                <w:szCs w:val="24"/>
                <w:lang w:val="en-US" w:eastAsia="zh-CN"/>
              </w:rPr>
              <w:t>及以上学历，</w:t>
            </w:r>
            <w:r>
              <w:rPr>
                <w:rFonts w:hint="eastAsia" w:ascii="宋体" w:hAnsi="宋体" w:eastAsia="宋体" w:cs="宋体"/>
                <w:sz w:val="24"/>
                <w:szCs w:val="24"/>
                <w:lang w:val="en-US" w:eastAsia="zh-CN"/>
              </w:rPr>
              <w:t>管理学、城乡规划、经济学、水利水电、计算机等相关</w:t>
            </w:r>
            <w:r>
              <w:rPr>
                <w:rFonts w:hint="default" w:ascii="宋体" w:hAnsi="宋体" w:eastAsia="宋体" w:cs="宋体"/>
                <w:sz w:val="24"/>
                <w:szCs w:val="24"/>
                <w:lang w:val="en-US" w:eastAsia="zh-CN"/>
              </w:rPr>
              <w:t>专业</w:t>
            </w:r>
            <w:r>
              <w:rPr>
                <w:rFonts w:hint="eastAsia" w:ascii="宋体" w:hAnsi="宋体" w:eastAsia="宋体" w:cs="宋体"/>
                <w:sz w:val="24"/>
                <w:szCs w:val="24"/>
                <w:lang w:val="en-US" w:eastAsia="zh-CN"/>
              </w:rPr>
              <w:t>；</w:t>
            </w:r>
          </w:p>
          <w:p w14:paraId="4B237FE5">
            <w:pPr>
              <w:numPr>
                <w:ilvl w:val="0"/>
                <w:numId w:val="0"/>
              </w:numPr>
              <w:snapToGrid w:val="0"/>
              <w:spacing w:line="560" w:lineRule="exact"/>
              <w:contextualSpacing/>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2.工作经验：</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年及以上同岗位工作经验，熟练</w:t>
            </w:r>
            <w:r>
              <w:rPr>
                <w:rFonts w:hint="eastAsia" w:ascii="宋体" w:hAnsi="宋体" w:eastAsia="宋体" w:cs="宋体"/>
                <w:sz w:val="24"/>
                <w:szCs w:val="24"/>
                <w:lang w:val="en-US" w:eastAsia="zh-CN"/>
              </w:rPr>
              <w:t>项目前期规划相关工作流程</w:t>
            </w:r>
            <w:r>
              <w:rPr>
                <w:rFonts w:hint="default" w:ascii="宋体" w:hAnsi="宋体" w:eastAsia="宋体" w:cs="宋体"/>
                <w:sz w:val="24"/>
                <w:szCs w:val="24"/>
                <w:lang w:val="en-US" w:eastAsia="zh-CN"/>
              </w:rPr>
              <w:t>，了解相关规定和政策；</w:t>
            </w:r>
          </w:p>
          <w:p w14:paraId="614B9332">
            <w:pPr>
              <w:numPr>
                <w:ilvl w:val="0"/>
                <w:numId w:val="0"/>
              </w:numPr>
              <w:snapToGrid w:val="0"/>
              <w:spacing w:line="560" w:lineRule="exact"/>
              <w:contextualSpacing/>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3.专业能力：熟练</w:t>
            </w:r>
            <w:r>
              <w:rPr>
                <w:rFonts w:hint="eastAsia" w:ascii="宋体" w:hAnsi="宋体" w:eastAsia="宋体" w:cs="宋体"/>
                <w:sz w:val="24"/>
                <w:szCs w:val="24"/>
                <w:lang w:val="en-US" w:eastAsia="zh-CN"/>
              </w:rPr>
              <w:t>使用项目申报过程中所涉及系统平台及基本办公软件等</w:t>
            </w:r>
            <w:r>
              <w:rPr>
                <w:rFonts w:hint="default" w:ascii="宋体" w:hAnsi="宋体" w:eastAsia="宋体" w:cs="宋体"/>
                <w:sz w:val="24"/>
                <w:szCs w:val="24"/>
                <w:lang w:val="en-US" w:eastAsia="zh-CN"/>
              </w:rPr>
              <w:t>；</w:t>
            </w:r>
          </w:p>
          <w:p w14:paraId="5AA30016">
            <w:pPr>
              <w:numPr>
                <w:ilvl w:val="0"/>
                <w:numId w:val="0"/>
              </w:numPr>
              <w:snapToGrid w:val="0"/>
              <w:spacing w:line="560" w:lineRule="exact"/>
              <w:contextualSpacing/>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4.职业资格</w:t>
            </w:r>
            <w:r>
              <w:rPr>
                <w:rFonts w:hint="eastAsia" w:ascii="宋体" w:hAnsi="宋体" w:eastAsia="宋体" w:cs="宋体"/>
                <w:sz w:val="24"/>
                <w:szCs w:val="24"/>
                <w:lang w:val="en-US" w:eastAsia="zh-CN"/>
              </w:rPr>
              <w:t>：具</w:t>
            </w:r>
            <w:r>
              <w:rPr>
                <w:rFonts w:hint="eastAsia" w:ascii="宋体" w:hAnsi="宋体" w:eastAsia="宋体" w:cs="宋体"/>
                <w:color w:val="auto"/>
                <w:sz w:val="24"/>
                <w:szCs w:val="24"/>
                <w:lang w:val="en-US" w:eastAsia="zh-CN"/>
              </w:rPr>
              <w:t>有</w:t>
            </w:r>
            <w:r>
              <w:rPr>
                <w:rFonts w:ascii="Segoe UI" w:hAnsi="Segoe UI" w:eastAsia="Segoe UI" w:cs="Segoe UI"/>
                <w:i w:val="0"/>
                <w:iCs w:val="0"/>
                <w:caps w:val="0"/>
                <w:color w:val="auto"/>
                <w:spacing w:val="0"/>
                <w:sz w:val="22"/>
                <w:szCs w:val="22"/>
                <w:shd w:val="clear" w:fill="FFFFFF"/>
              </w:rPr>
              <w:t>中级/高级职称（工程经济类）</w:t>
            </w:r>
            <w:r>
              <w:rPr>
                <w:rFonts w:hint="eastAsia" w:ascii="Segoe UI" w:hAnsi="Segoe UI" w:eastAsia="宋体" w:cs="Segoe UI"/>
                <w:i w:val="0"/>
                <w:iCs w:val="0"/>
                <w:caps w:val="0"/>
                <w:color w:val="auto"/>
                <w:spacing w:val="0"/>
                <w:sz w:val="22"/>
                <w:szCs w:val="22"/>
                <w:shd w:val="clear" w:fill="FFFFFF"/>
                <w:lang w:eastAsia="zh-CN"/>
              </w:rPr>
              <w:t>、</w:t>
            </w:r>
            <w:r>
              <w:rPr>
                <w:rFonts w:hint="eastAsia" w:ascii="宋体" w:hAnsi="宋体" w:eastAsia="宋体" w:cs="宋体"/>
                <w:color w:val="auto"/>
                <w:sz w:val="24"/>
                <w:szCs w:val="24"/>
                <w:lang w:val="en-US" w:eastAsia="zh-CN"/>
              </w:rPr>
              <w:t>注册城乡规划师、</w:t>
            </w:r>
            <w:r>
              <w:rPr>
                <w:rFonts w:ascii="Segoe UI" w:hAnsi="Segoe UI" w:eastAsia="Segoe UI" w:cs="Segoe UI"/>
                <w:i w:val="0"/>
                <w:iCs w:val="0"/>
                <w:caps w:val="0"/>
                <w:color w:val="auto"/>
                <w:spacing w:val="0"/>
                <w:sz w:val="22"/>
                <w:szCs w:val="22"/>
                <w:shd w:val="clear" w:fill="FFFFFF"/>
              </w:rPr>
              <w:t>注册建</w:t>
            </w:r>
            <w:r>
              <w:rPr>
                <w:rFonts w:hint="eastAsia" w:ascii="Segoe UI" w:hAnsi="Segoe UI" w:eastAsia="宋体" w:cs="Segoe UI"/>
                <w:i w:val="0"/>
                <w:iCs w:val="0"/>
                <w:caps w:val="0"/>
                <w:color w:val="auto"/>
                <w:spacing w:val="0"/>
                <w:sz w:val="22"/>
                <w:szCs w:val="22"/>
                <w:shd w:val="clear" w:fill="FFFFFF"/>
                <w:lang w:val="en-US" w:eastAsia="zh-CN"/>
              </w:rPr>
              <w:t>造</w:t>
            </w:r>
            <w:r>
              <w:rPr>
                <w:rFonts w:ascii="Segoe UI" w:hAnsi="Segoe UI" w:eastAsia="Segoe UI" w:cs="Segoe UI"/>
                <w:i w:val="0"/>
                <w:iCs w:val="0"/>
                <w:caps w:val="0"/>
                <w:color w:val="auto"/>
                <w:spacing w:val="0"/>
                <w:sz w:val="22"/>
                <w:szCs w:val="22"/>
                <w:shd w:val="clear" w:fill="FFFFFF"/>
              </w:rPr>
              <w:t>师</w:t>
            </w:r>
            <w:r>
              <w:rPr>
                <w:rFonts w:hint="eastAsia" w:ascii="宋体" w:hAnsi="宋体" w:eastAsia="宋体" w:cs="宋体"/>
                <w:color w:val="auto"/>
                <w:sz w:val="24"/>
                <w:szCs w:val="24"/>
                <w:lang w:val="en-US" w:eastAsia="zh-CN"/>
              </w:rPr>
              <w:t>证者优先</w:t>
            </w:r>
            <w:r>
              <w:rPr>
                <w:rFonts w:hint="eastAsia" w:ascii="宋体" w:hAnsi="宋体" w:eastAsia="宋体" w:cs="宋体"/>
                <w:sz w:val="24"/>
                <w:szCs w:val="24"/>
                <w:lang w:val="en-US" w:eastAsia="zh-CN"/>
              </w:rPr>
              <w:t>；</w:t>
            </w:r>
          </w:p>
          <w:p w14:paraId="0A39567E">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5.年龄要求：年龄</w:t>
            </w:r>
            <w:r>
              <w:rPr>
                <w:rFonts w:hint="eastAsia" w:ascii="宋体" w:hAnsi="宋体" w:eastAsia="宋体" w:cs="宋体"/>
                <w:color w:val="000000" w:themeColor="text1"/>
                <w:sz w:val="24"/>
                <w:szCs w:val="24"/>
                <w:lang w:val="en-US" w:eastAsia="zh-CN"/>
                <w14:textFill>
                  <w14:solidFill>
                    <w14:schemeClr w14:val="tx1"/>
                  </w14:solidFill>
                </w14:textFill>
              </w:rPr>
              <w:t>45</w:t>
            </w:r>
            <w:r>
              <w:rPr>
                <w:rFonts w:hint="eastAsia" w:ascii="宋体" w:hAnsi="宋体" w:eastAsia="宋体" w:cs="宋体"/>
                <w:sz w:val="24"/>
                <w:szCs w:val="24"/>
                <w:lang w:val="en-US" w:eastAsia="zh-CN"/>
              </w:rPr>
              <w:t>岁及以下；</w:t>
            </w:r>
          </w:p>
          <w:p w14:paraId="48FD950A">
            <w:pPr>
              <w:numPr>
                <w:ilvl w:val="0"/>
                <w:numId w:val="0"/>
              </w:numPr>
              <w:snapToGrid w:val="0"/>
              <w:spacing w:line="560" w:lineRule="exact"/>
              <w:ind w:left="0" w:leftChars="0" w:firstLine="0" w:firstLineChars="0"/>
              <w:contextualSpacing/>
              <w:jc w:val="left"/>
              <w:rPr>
                <w:rFonts w:hint="eastAsia" w:ascii="宋体" w:hAnsi="宋体" w:eastAsia="宋体" w:cs="宋体"/>
                <w:spacing w:val="-6"/>
                <w:w w:val="96"/>
                <w:kern w:val="2"/>
                <w:sz w:val="24"/>
                <w:szCs w:val="24"/>
                <w:lang w:val="en-US" w:eastAsia="zh-CN" w:bidi="ar-SA"/>
              </w:rPr>
            </w:pPr>
            <w:r>
              <w:rPr>
                <w:rFonts w:hint="eastAsia" w:ascii="宋体" w:hAnsi="宋体" w:eastAsia="宋体" w:cs="宋体"/>
                <w:sz w:val="24"/>
                <w:szCs w:val="24"/>
                <w:lang w:val="en-US" w:eastAsia="zh-CN"/>
              </w:rPr>
              <w:t>6.其他要求：（1）稳定性：需承诺长期在招聘单位所在地发展；（2）有较强的责任心与执行力，能接受加班。（3）有国企或政府相关工作经验者优先，党员优先。</w:t>
            </w:r>
          </w:p>
        </w:tc>
      </w:tr>
      <w:tr w14:paraId="09DB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728" w:type="dxa"/>
            <w:shd w:val="clear" w:color="auto" w:fill="auto"/>
            <w:vAlign w:val="center"/>
          </w:tcPr>
          <w:p w14:paraId="2BD825A1">
            <w:pPr>
              <w:snapToGrid w:val="0"/>
              <w:jc w:val="center"/>
              <w:rPr>
                <w:rFonts w:hint="default" w:ascii="宋体" w:hAnsi="宋体" w:eastAsia="宋体" w:cs="宋体"/>
                <w:spacing w:val="-6"/>
                <w:w w:val="96"/>
                <w:kern w:val="2"/>
                <w:sz w:val="24"/>
                <w:szCs w:val="24"/>
                <w:vertAlign w:val="baseline"/>
                <w:lang w:val="en-US" w:eastAsia="zh-CN" w:bidi="ar-SA"/>
              </w:rPr>
            </w:pPr>
            <w:r>
              <w:rPr>
                <w:rFonts w:hint="eastAsia" w:ascii="宋体" w:hAnsi="宋体" w:eastAsia="宋体" w:cs="宋体"/>
                <w:spacing w:val="-6"/>
                <w:w w:val="96"/>
                <w:kern w:val="2"/>
                <w:sz w:val="24"/>
                <w:szCs w:val="24"/>
                <w:vertAlign w:val="baseline"/>
                <w:lang w:val="en-US" w:eastAsia="zh-CN" w:bidi="ar-SA"/>
              </w:rPr>
              <w:t>2</w:t>
            </w:r>
          </w:p>
        </w:tc>
        <w:tc>
          <w:tcPr>
            <w:tcW w:w="921" w:type="dxa"/>
            <w:shd w:val="clear" w:color="auto" w:fill="auto"/>
            <w:vAlign w:val="center"/>
          </w:tcPr>
          <w:p w14:paraId="373D26EC">
            <w:pPr>
              <w:snapToGrid w:val="0"/>
              <w:jc w:val="center"/>
              <w:rPr>
                <w:rFonts w:hint="eastAsia" w:ascii="宋体" w:hAnsi="宋体" w:eastAsia="宋体" w:cs="宋体"/>
                <w:spacing w:val="-6"/>
                <w:w w:val="96"/>
                <w:kern w:val="2"/>
                <w:sz w:val="24"/>
                <w:szCs w:val="24"/>
                <w:vertAlign w:val="baseline"/>
                <w:lang w:val="en-US" w:eastAsia="zh-CN" w:bidi="ar-SA"/>
              </w:rPr>
            </w:pPr>
            <w:r>
              <w:rPr>
                <w:rFonts w:hint="eastAsia" w:ascii="宋体" w:hAnsi="宋体" w:eastAsia="宋体" w:cs="宋体"/>
                <w:sz w:val="24"/>
                <w:szCs w:val="24"/>
                <w:vertAlign w:val="baseline"/>
                <w:lang w:val="en-US" w:eastAsia="zh-CN"/>
              </w:rPr>
              <w:t>项目管理部</w:t>
            </w:r>
          </w:p>
        </w:tc>
        <w:tc>
          <w:tcPr>
            <w:tcW w:w="1443" w:type="dxa"/>
            <w:shd w:val="clear" w:color="auto" w:fill="auto"/>
            <w:vAlign w:val="center"/>
          </w:tcPr>
          <w:p w14:paraId="1D6D25B1">
            <w:pPr>
              <w:snapToGrid w:val="0"/>
              <w:jc w:val="center"/>
              <w:rPr>
                <w:rFonts w:hint="eastAsia" w:ascii="宋体" w:hAnsi="宋体" w:eastAsia="宋体" w:cs="宋体"/>
                <w:spacing w:val="-6"/>
                <w:w w:val="96"/>
                <w:kern w:val="2"/>
                <w:sz w:val="24"/>
                <w:szCs w:val="24"/>
                <w:vertAlign w:val="baseline"/>
                <w:lang w:val="en-US" w:eastAsia="zh-CN" w:bidi="ar-SA"/>
              </w:rPr>
            </w:pPr>
            <w:r>
              <w:rPr>
                <w:rFonts w:hint="eastAsia" w:ascii="宋体" w:hAnsi="宋体" w:eastAsia="宋体" w:cs="宋体"/>
                <w:sz w:val="24"/>
                <w:szCs w:val="24"/>
                <w:vertAlign w:val="baseline"/>
                <w:lang w:val="en-US" w:eastAsia="zh-CN"/>
              </w:rPr>
              <w:t>造价审计岗</w:t>
            </w:r>
          </w:p>
        </w:tc>
        <w:tc>
          <w:tcPr>
            <w:tcW w:w="668" w:type="dxa"/>
            <w:shd w:val="clear" w:color="auto" w:fill="auto"/>
            <w:vAlign w:val="center"/>
          </w:tcPr>
          <w:p w14:paraId="53043A05">
            <w:pPr>
              <w:snapToGrid w:val="0"/>
              <w:spacing w:line="560" w:lineRule="exact"/>
              <w:contextualSpacing/>
              <w:jc w:val="center"/>
              <w:rPr>
                <w:rFonts w:hint="eastAsia" w:ascii="宋体" w:hAnsi="宋体" w:eastAsia="宋体" w:cs="宋体"/>
                <w:spacing w:val="-6"/>
                <w:w w:val="96"/>
                <w:kern w:val="2"/>
                <w:sz w:val="24"/>
                <w:szCs w:val="24"/>
                <w:lang w:val="en-US" w:eastAsia="zh-CN" w:bidi="ar-SA"/>
              </w:rPr>
            </w:pPr>
            <w:r>
              <w:rPr>
                <w:rFonts w:hint="eastAsia" w:ascii="宋体" w:hAnsi="宋体" w:eastAsia="宋体" w:cs="宋体"/>
                <w:sz w:val="24"/>
                <w:szCs w:val="24"/>
                <w:lang w:val="en-US" w:eastAsia="zh-CN"/>
              </w:rPr>
              <w:t>1</w:t>
            </w:r>
          </w:p>
        </w:tc>
        <w:tc>
          <w:tcPr>
            <w:tcW w:w="4254" w:type="dxa"/>
            <w:shd w:val="clear" w:color="auto" w:fill="auto"/>
            <w:vAlign w:val="center"/>
          </w:tcPr>
          <w:p w14:paraId="6A06AEA9">
            <w:pPr>
              <w:numPr>
                <w:ilvl w:val="0"/>
                <w:numId w:val="0"/>
              </w:numPr>
              <w:snapToGrid w:val="0"/>
              <w:spacing w:line="560" w:lineRule="exact"/>
              <w:contextualSpacing/>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造价审核与控制：负责对工程项目的概算、预算、招标控制价、结算、竣工决算等全过程的造价文件进行审核，确保其符合国家规范、合同约定及企业内部制度；审核工程变更、签证、索赔等费用，评估其对工程造价的影响，提出优化建议；监督动态成本管理，及时发现并预警超预算风险，提出成本控制措施。</w:t>
            </w:r>
          </w:p>
          <w:p w14:paraId="412758D6">
            <w:pPr>
              <w:numPr>
                <w:ilvl w:val="0"/>
                <w:numId w:val="0"/>
              </w:numPr>
              <w:snapToGrid w:val="0"/>
              <w:spacing w:line="560" w:lineRule="exact"/>
              <w:contextualSpacing/>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2.合同与招投标审计：参与招标文件及施工合同的评审，规避合同风险；监督招投标过程的合规性，确保工程量清单、控制价编制符合规定，防止围标、串标等行为。</w:t>
            </w:r>
          </w:p>
          <w:p w14:paraId="45EC817B">
            <w:pPr>
              <w:numPr>
                <w:ilvl w:val="0"/>
                <w:numId w:val="0"/>
              </w:numPr>
              <w:snapToGrid w:val="0"/>
              <w:spacing w:line="560" w:lineRule="exact"/>
              <w:contextualSpacing/>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3.过程跟踪与资料审查：对施工现场进行巡检；审核施工方提交的月进度款申请、材料价格认价单等资料，防止虚报、重复计费。</w:t>
            </w:r>
          </w:p>
          <w:p w14:paraId="62D7F5DC">
            <w:pPr>
              <w:numPr>
                <w:ilvl w:val="0"/>
                <w:numId w:val="0"/>
              </w:numPr>
              <w:snapToGrid w:val="0"/>
              <w:spacing w:line="560" w:lineRule="exact"/>
              <w:contextualSpacing/>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4.结算与决算审计：组织或参与工程竣工结算审核，配合外部审计机构完成项目竣工决算审计。</w:t>
            </w:r>
          </w:p>
          <w:p w14:paraId="580032FC">
            <w:pPr>
              <w:numPr>
                <w:ilvl w:val="0"/>
                <w:numId w:val="0"/>
              </w:numPr>
              <w:snapToGrid w:val="0"/>
              <w:spacing w:line="560" w:lineRule="exact"/>
              <w:contextualSpacing/>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5.合规性与风险管理：检查造价文件是否符合国家法律法规、行业标准及企业内部流程，防范审计风险，发现造价管理中的漏洞或舞弊线索，及时上报并提出改进建议。</w:t>
            </w:r>
          </w:p>
          <w:p w14:paraId="03008C4C">
            <w:pPr>
              <w:numPr>
                <w:ilvl w:val="0"/>
                <w:numId w:val="0"/>
              </w:numPr>
              <w:snapToGrid w:val="0"/>
              <w:spacing w:line="560" w:lineRule="exact"/>
              <w:contextualSpacing/>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6.数据管理与沟通协调：建立工程造价数据库，积累历史数据供后续项目参考；协调设计、施工、监理、咨询等单位，解决造价争议问题；协助处理工程纠纷中的造价鉴定。</w:t>
            </w:r>
          </w:p>
          <w:p w14:paraId="5320C367">
            <w:pPr>
              <w:numPr>
                <w:ilvl w:val="0"/>
                <w:numId w:val="0"/>
              </w:numPr>
              <w:snapToGrid w:val="0"/>
              <w:spacing w:line="560" w:lineRule="exact"/>
              <w:ind w:left="0" w:leftChars="0" w:firstLine="0" w:firstLineChars="0"/>
              <w:contextualSpacing/>
              <w:jc w:val="left"/>
              <w:rPr>
                <w:rFonts w:hint="eastAsia" w:ascii="宋体" w:hAnsi="宋体" w:eastAsia="宋体" w:cs="宋体"/>
                <w:spacing w:val="-6"/>
                <w:w w:val="96"/>
                <w:kern w:val="2"/>
                <w:sz w:val="24"/>
                <w:szCs w:val="24"/>
                <w:lang w:val="en-US" w:eastAsia="zh-CN" w:bidi="ar-SA"/>
              </w:rPr>
            </w:pP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其他工作：</w:t>
            </w:r>
            <w:r>
              <w:rPr>
                <w:rFonts w:hint="eastAsia" w:ascii="宋体" w:hAnsi="宋体" w:eastAsia="宋体" w:cs="宋体"/>
                <w:sz w:val="24"/>
                <w:szCs w:val="24"/>
                <w:lang w:val="en-US" w:eastAsia="zh-CN"/>
              </w:rPr>
              <w:t>参与造价相关的制度、流程优化，提出标准化建议</w:t>
            </w:r>
            <w:r>
              <w:rPr>
                <w:rFonts w:hint="default" w:ascii="宋体" w:hAnsi="宋体" w:eastAsia="宋体" w:cs="宋体"/>
                <w:sz w:val="24"/>
                <w:szCs w:val="24"/>
                <w:lang w:val="en-US" w:eastAsia="zh-CN"/>
              </w:rPr>
              <w:t>完成上级交办的专项审计或成本分析任务。</w:t>
            </w:r>
          </w:p>
        </w:tc>
        <w:tc>
          <w:tcPr>
            <w:tcW w:w="1353" w:type="dxa"/>
            <w:shd w:val="clear" w:color="auto" w:fill="auto"/>
            <w:vAlign w:val="center"/>
          </w:tcPr>
          <w:p w14:paraId="7A3C0402">
            <w:pPr>
              <w:snapToGrid w:val="0"/>
              <w:jc w:val="right"/>
              <w:rPr>
                <w:rFonts w:hint="eastAsia" w:ascii="宋体" w:hAnsi="宋体" w:eastAsia="宋体" w:cs="宋体"/>
                <w:spacing w:val="-6"/>
                <w:w w:val="96"/>
                <w:kern w:val="2"/>
                <w:sz w:val="24"/>
                <w:szCs w:val="24"/>
                <w:vertAlign w:val="baseline"/>
                <w:lang w:val="en-US" w:eastAsia="zh-CN" w:bidi="ar-SA"/>
              </w:rPr>
            </w:pPr>
            <w:r>
              <w:rPr>
                <w:rFonts w:hint="eastAsia" w:ascii="宋体" w:hAnsi="宋体" w:eastAsia="宋体" w:cs="宋体"/>
                <w:sz w:val="24"/>
                <w:szCs w:val="24"/>
                <w:vertAlign w:val="baseline"/>
                <w:lang w:val="en-US" w:eastAsia="zh-CN"/>
              </w:rPr>
              <w:t>9-14万/年</w:t>
            </w:r>
          </w:p>
        </w:tc>
        <w:tc>
          <w:tcPr>
            <w:tcW w:w="4807" w:type="dxa"/>
            <w:shd w:val="clear" w:color="auto" w:fill="auto"/>
            <w:vAlign w:val="center"/>
          </w:tcPr>
          <w:p w14:paraId="2F89C022">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1.学历与专业要求：</w:t>
            </w:r>
            <w:r>
              <w:rPr>
                <w:rFonts w:hint="eastAsia" w:ascii="宋体" w:hAnsi="宋体" w:eastAsia="宋体" w:cs="宋体"/>
                <w:color w:val="auto"/>
                <w:sz w:val="24"/>
                <w:szCs w:val="24"/>
                <w:lang w:val="en-US" w:eastAsia="zh-CN"/>
              </w:rPr>
              <w:t>专科</w:t>
            </w:r>
            <w:r>
              <w:rPr>
                <w:rFonts w:hint="eastAsia" w:ascii="宋体" w:hAnsi="宋体" w:eastAsia="宋体" w:cs="宋体"/>
                <w:sz w:val="24"/>
                <w:szCs w:val="24"/>
                <w:lang w:val="en-US" w:eastAsia="zh-CN"/>
              </w:rPr>
              <w:t>及以上学历，建筑工程、工程造价、工程管理、审计等相关专业；</w:t>
            </w:r>
          </w:p>
          <w:p w14:paraId="553C978A">
            <w:pPr>
              <w:numPr>
                <w:ilvl w:val="0"/>
                <w:numId w:val="0"/>
              </w:numPr>
              <w:snapToGrid w:val="0"/>
              <w:spacing w:line="560" w:lineRule="exact"/>
              <w:ind w:leftChars="0"/>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2.工作经验：5年及以上工程审计工作经验，熟练掌握工程造价管理和审计流程，了解相关规定和政策；</w:t>
            </w:r>
          </w:p>
          <w:p w14:paraId="228DEDC9">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3.专业能力：熟练使用工程造价软件、CAD制图软件；</w:t>
            </w:r>
          </w:p>
          <w:p w14:paraId="6B26D520">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4.职业资格：</w:t>
            </w:r>
            <w:r>
              <w:rPr>
                <w:rFonts w:hint="eastAsia" w:ascii="宋体" w:hAnsi="宋体" w:eastAsia="宋体" w:cs="宋体"/>
                <w:color w:val="auto"/>
                <w:sz w:val="24"/>
                <w:szCs w:val="24"/>
                <w:highlight w:val="none"/>
                <w:lang w:val="en-US" w:eastAsia="zh-CN"/>
              </w:rPr>
              <w:t>要求</w:t>
            </w:r>
            <w:r>
              <w:rPr>
                <w:rFonts w:hint="eastAsia" w:ascii="宋体" w:hAnsi="宋体" w:eastAsia="宋体" w:cs="宋体"/>
                <w:sz w:val="24"/>
                <w:szCs w:val="24"/>
                <w:lang w:val="en-US" w:eastAsia="zh-CN"/>
              </w:rPr>
              <w:t>持有一级/二级造价师证</w:t>
            </w:r>
            <w:r>
              <w:rPr>
                <w:rFonts w:hint="eastAsia" w:ascii="宋体" w:hAnsi="宋体" w:eastAsia="宋体" w:cs="宋体"/>
                <w:color w:val="auto"/>
                <w:sz w:val="24"/>
                <w:szCs w:val="24"/>
                <w:lang w:val="en-US" w:eastAsia="zh-CN"/>
              </w:rPr>
              <w:t>，同时持有一级/二级建造师证或工程类中级职称以上证书者优先</w:t>
            </w:r>
            <w:r>
              <w:rPr>
                <w:rFonts w:hint="eastAsia" w:ascii="宋体" w:hAnsi="宋体" w:eastAsia="宋体" w:cs="宋体"/>
                <w:sz w:val="24"/>
                <w:szCs w:val="24"/>
                <w:lang w:val="en-US" w:eastAsia="zh-CN"/>
              </w:rPr>
              <w:t>；</w:t>
            </w:r>
          </w:p>
          <w:p w14:paraId="7F97517F">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5.年龄要求：年龄45岁及以下；</w:t>
            </w:r>
          </w:p>
          <w:p w14:paraId="34A15D17">
            <w:pPr>
              <w:snapToGrid w:val="0"/>
              <w:spacing w:line="560" w:lineRule="exact"/>
              <w:contextualSpacing/>
              <w:jc w:val="left"/>
              <w:rPr>
                <w:rFonts w:hint="eastAsia" w:ascii="宋体" w:hAnsi="宋体" w:eastAsia="宋体" w:cs="宋体"/>
                <w:spacing w:val="-6"/>
                <w:w w:val="96"/>
                <w:kern w:val="2"/>
                <w:sz w:val="24"/>
                <w:szCs w:val="24"/>
                <w:lang w:val="en-US" w:eastAsia="zh-CN" w:bidi="ar-SA"/>
              </w:rPr>
            </w:pPr>
            <w:r>
              <w:rPr>
                <w:rFonts w:hint="eastAsia" w:ascii="宋体" w:hAnsi="宋体" w:eastAsia="宋体" w:cs="宋体"/>
                <w:sz w:val="24"/>
                <w:szCs w:val="24"/>
                <w:lang w:val="en-US" w:eastAsia="zh-CN"/>
              </w:rPr>
              <w:t>6.其他要求：（1）稳定性：需承诺长期在招聘单位所在地发展；（2）有较强的责任心与执行力，能接受加班。（3）有国企或政府相关工作经验者优先，党员优先。</w:t>
            </w:r>
          </w:p>
        </w:tc>
      </w:tr>
      <w:tr w14:paraId="5877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728" w:type="dxa"/>
            <w:shd w:val="clear" w:color="auto" w:fill="auto"/>
            <w:vAlign w:val="center"/>
          </w:tcPr>
          <w:p w14:paraId="0AB2FEEE">
            <w:pPr>
              <w:jc w:val="center"/>
              <w:rPr>
                <w:rFonts w:hint="default" w:ascii="宋体" w:hAnsi="宋体" w:eastAsia="宋体" w:cs="宋体"/>
                <w:spacing w:val="-6"/>
                <w:w w:val="96"/>
                <w:kern w:val="2"/>
                <w:sz w:val="24"/>
                <w:szCs w:val="24"/>
                <w:lang w:val="en-US" w:eastAsia="zh-CN" w:bidi="ar-SA"/>
              </w:rPr>
            </w:pPr>
            <w:r>
              <w:rPr>
                <w:rFonts w:hint="eastAsia" w:ascii="宋体" w:hAnsi="宋体" w:eastAsia="宋体" w:cs="宋体"/>
                <w:spacing w:val="-6"/>
                <w:w w:val="96"/>
                <w:kern w:val="2"/>
                <w:sz w:val="24"/>
                <w:szCs w:val="24"/>
                <w:lang w:val="en-US" w:eastAsia="zh-CN" w:bidi="ar-SA"/>
              </w:rPr>
              <w:t>3</w:t>
            </w:r>
          </w:p>
        </w:tc>
        <w:tc>
          <w:tcPr>
            <w:tcW w:w="921" w:type="dxa"/>
            <w:shd w:val="clear" w:color="auto" w:fill="auto"/>
            <w:vAlign w:val="center"/>
          </w:tcPr>
          <w:p w14:paraId="027C10D3">
            <w:pPr>
              <w:snapToGrid w:val="0"/>
              <w:jc w:val="both"/>
              <w:rPr>
                <w:rFonts w:hint="eastAsia" w:ascii="宋体" w:hAnsi="宋体" w:eastAsia="宋体" w:cs="宋体"/>
                <w:spacing w:val="-6"/>
                <w:w w:val="96"/>
                <w:kern w:val="2"/>
                <w:sz w:val="24"/>
                <w:szCs w:val="24"/>
                <w:lang w:val="en-US" w:eastAsia="zh-CN" w:bidi="ar-SA"/>
              </w:rPr>
            </w:pPr>
            <w:r>
              <w:rPr>
                <w:rFonts w:hint="eastAsia" w:ascii="宋体" w:hAnsi="宋体" w:eastAsia="宋体" w:cs="宋体"/>
                <w:sz w:val="24"/>
                <w:szCs w:val="24"/>
              </w:rPr>
              <w:t>市场投融部</w:t>
            </w:r>
          </w:p>
        </w:tc>
        <w:tc>
          <w:tcPr>
            <w:tcW w:w="1443" w:type="dxa"/>
            <w:shd w:val="clear" w:color="auto" w:fill="auto"/>
            <w:vAlign w:val="center"/>
          </w:tcPr>
          <w:p w14:paraId="7A5B466E">
            <w:pPr>
              <w:snapToGrid w:val="0"/>
              <w:jc w:val="both"/>
              <w:rPr>
                <w:rFonts w:hint="eastAsia" w:ascii="宋体" w:hAnsi="宋体" w:eastAsia="宋体" w:cs="宋体"/>
                <w:spacing w:val="-6"/>
                <w:w w:val="96"/>
                <w:kern w:val="2"/>
                <w:sz w:val="24"/>
                <w:szCs w:val="24"/>
                <w:lang w:val="en-US" w:eastAsia="zh-CN" w:bidi="ar-SA"/>
              </w:rPr>
            </w:pPr>
            <w:r>
              <w:rPr>
                <w:rFonts w:hint="eastAsia" w:ascii="宋体" w:hAnsi="宋体" w:eastAsia="宋体" w:cs="宋体"/>
                <w:sz w:val="24"/>
                <w:szCs w:val="24"/>
              </w:rPr>
              <w:t>投资专员岗</w:t>
            </w:r>
          </w:p>
        </w:tc>
        <w:tc>
          <w:tcPr>
            <w:tcW w:w="668" w:type="dxa"/>
            <w:shd w:val="clear" w:color="auto" w:fill="auto"/>
            <w:vAlign w:val="center"/>
          </w:tcPr>
          <w:p w14:paraId="08224B34">
            <w:pPr>
              <w:spacing w:line="560" w:lineRule="exact"/>
              <w:contextualSpacing/>
              <w:jc w:val="center"/>
              <w:rPr>
                <w:rFonts w:hint="default" w:ascii="宋体" w:hAnsi="宋体" w:eastAsia="宋体" w:cs="宋体"/>
                <w:spacing w:val="-6"/>
                <w:w w:val="96"/>
                <w:kern w:val="2"/>
                <w:sz w:val="24"/>
                <w:szCs w:val="24"/>
                <w:lang w:val="en-US" w:eastAsia="zh-CN" w:bidi="ar-SA"/>
              </w:rPr>
            </w:pPr>
            <w:r>
              <w:rPr>
                <w:rFonts w:hint="eastAsia" w:ascii="宋体" w:hAnsi="宋体" w:eastAsia="宋体" w:cs="宋体"/>
                <w:spacing w:val="-6"/>
                <w:w w:val="96"/>
                <w:kern w:val="2"/>
                <w:sz w:val="24"/>
                <w:szCs w:val="24"/>
                <w:lang w:val="en-US" w:eastAsia="zh-CN" w:bidi="ar-SA"/>
              </w:rPr>
              <w:t>1</w:t>
            </w:r>
          </w:p>
        </w:tc>
        <w:tc>
          <w:tcPr>
            <w:tcW w:w="4254" w:type="dxa"/>
            <w:shd w:val="clear" w:color="auto" w:fill="auto"/>
            <w:vAlign w:val="top"/>
          </w:tcPr>
          <w:p w14:paraId="714B2DDB">
            <w:pPr>
              <w:keepNext w:val="0"/>
              <w:keepLines w:val="0"/>
              <w:numPr>
                <w:ilvl w:val="0"/>
                <w:numId w:val="0"/>
              </w:numPr>
              <w:suppressLineNumbers w:val="0"/>
              <w:snapToGrid w:val="0"/>
              <w:spacing w:before="0" w:beforeAutospacing="0" w:after="0" w:afterAutospacing="0" w:line="560" w:lineRule="exact"/>
              <w:ind w:right="0" w:rightChars="0"/>
              <w:contextualSpacing/>
              <w:jc w:val="both"/>
              <w:rPr>
                <w:rFonts w:hint="default" w:ascii="宋体" w:hAnsi="宋体" w:eastAsia="宋体" w:cs="宋体"/>
                <w:sz w:val="24"/>
                <w:szCs w:val="24"/>
                <w:lang w:val="en-US" w:eastAsia="zh-CN"/>
              </w:rPr>
            </w:pPr>
            <w:r>
              <w:rPr>
                <w:rFonts w:ascii="宋体" w:hAnsi="宋体" w:eastAsia="宋体" w:cs="宋体"/>
                <w:sz w:val="24"/>
                <w:szCs w:val="24"/>
              </w:rPr>
              <w:t>一、</w:t>
            </w:r>
            <w:r>
              <w:rPr>
                <w:rFonts w:hint="default" w:ascii="宋体" w:hAnsi="宋体" w:eastAsia="宋体" w:cs="宋体"/>
                <w:sz w:val="24"/>
                <w:szCs w:val="24"/>
                <w:lang w:val="en-US" w:eastAsia="zh-CN"/>
              </w:rPr>
              <w:t>项目挖掘与初步分析</w:t>
            </w:r>
          </w:p>
          <w:p w14:paraId="66D756EC">
            <w:pPr>
              <w:keepNext w:val="0"/>
              <w:keepLines w:val="0"/>
              <w:numPr>
                <w:ilvl w:val="0"/>
                <w:numId w:val="0"/>
              </w:numPr>
              <w:suppressLineNumbers w:val="0"/>
              <w:snapToGrid w:val="0"/>
              <w:spacing w:before="0" w:beforeAutospacing="0" w:after="0" w:afterAutospacing="0" w:line="560" w:lineRule="exact"/>
              <w:ind w:right="0" w:rightChars="0"/>
              <w:contextualSpacing/>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寻找项目：通过市场调研、行业分析、拓展人脉等方式，主动发现符合公司投资方向的项目。主要负责寻找和筛选潜在的投资机会。</w:t>
            </w:r>
          </w:p>
          <w:p w14:paraId="3956D640">
            <w:pPr>
              <w:keepNext w:val="0"/>
              <w:keepLines w:val="0"/>
              <w:numPr>
                <w:ilvl w:val="0"/>
                <w:numId w:val="0"/>
              </w:numPr>
              <w:suppressLineNumbers w:val="0"/>
              <w:snapToGrid w:val="0"/>
              <w:spacing w:before="0" w:beforeAutospacing="0" w:after="0" w:afterAutospacing="0" w:line="560" w:lineRule="exact"/>
              <w:ind w:right="0" w:rightChars="0"/>
              <w:contextualSpacing/>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初步判断：对项目进行快速筛选，评估其商业模式、市场前景、团队背景等基本要素，判断是否值得进一步跟进。</w:t>
            </w:r>
          </w:p>
          <w:p w14:paraId="2CBE3679">
            <w:pPr>
              <w:keepNext w:val="0"/>
              <w:keepLines w:val="0"/>
              <w:numPr>
                <w:ilvl w:val="0"/>
                <w:numId w:val="0"/>
              </w:numPr>
              <w:suppressLineNumbers w:val="0"/>
              <w:snapToGrid w:val="0"/>
              <w:spacing w:before="0" w:beforeAutospacing="0" w:after="0" w:afterAutospacing="0" w:line="560" w:lineRule="exact"/>
              <w:ind w:right="0" w:rightChars="0"/>
              <w:contextualSpacing/>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二、尽职调查与投资建议</w:t>
            </w:r>
          </w:p>
          <w:p w14:paraId="1BB53D67">
            <w:pPr>
              <w:keepNext w:val="0"/>
              <w:keepLines w:val="0"/>
              <w:numPr>
                <w:ilvl w:val="0"/>
                <w:numId w:val="0"/>
              </w:numPr>
              <w:suppressLineNumbers w:val="0"/>
              <w:snapToGrid w:val="0"/>
              <w:spacing w:before="0" w:beforeAutospacing="0" w:after="0" w:afterAutospacing="0" w:line="560" w:lineRule="exact"/>
              <w:ind w:right="0" w:rightChars="0"/>
              <w:contextualSpacing/>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 </w:t>
            </w:r>
            <w:r>
              <w:rPr>
                <w:rFonts w:hint="default" w:ascii="宋体" w:hAnsi="宋体" w:eastAsia="宋体" w:cs="宋体"/>
                <w:sz w:val="24"/>
                <w:szCs w:val="24"/>
                <w:lang w:val="en-US" w:eastAsia="zh-CN"/>
              </w:rPr>
              <w:t>深入分析：主导或参与详细的尽职调查，涵盖财务、法律、业务、技术等多个方面。对通过初步筛选的项目进行深入评估，为投资决策提供核心依据。</w:t>
            </w:r>
          </w:p>
          <w:p w14:paraId="21E48FF0">
            <w:pPr>
              <w:keepNext w:val="0"/>
              <w:keepLines w:val="0"/>
              <w:numPr>
                <w:ilvl w:val="0"/>
                <w:numId w:val="0"/>
              </w:numPr>
              <w:suppressLineNumbers w:val="0"/>
              <w:snapToGrid w:val="0"/>
              <w:spacing w:before="0" w:beforeAutospacing="0" w:after="0" w:afterAutospacing="0" w:line="560" w:lineRule="exact"/>
              <w:ind w:right="0" w:rightChars="0"/>
              <w:contextualSpacing/>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2. </w:t>
            </w:r>
            <w:r>
              <w:rPr>
                <w:rFonts w:hint="default" w:ascii="宋体" w:hAnsi="宋体" w:eastAsia="宋体" w:cs="宋体"/>
                <w:sz w:val="24"/>
                <w:szCs w:val="24"/>
                <w:lang w:val="en-US" w:eastAsia="zh-CN"/>
              </w:rPr>
              <w:t>报告撰写：构建财务模型进行估值和收益预测，并撰写专业的投资可行性研究报告或投资建议书，明确提出是否投资的建议。</w:t>
            </w:r>
          </w:p>
          <w:p w14:paraId="206D5A36">
            <w:pPr>
              <w:keepNext w:val="0"/>
              <w:keepLines w:val="0"/>
              <w:numPr>
                <w:ilvl w:val="0"/>
                <w:numId w:val="0"/>
              </w:numPr>
              <w:suppressLineNumbers w:val="0"/>
              <w:snapToGrid w:val="0"/>
              <w:spacing w:before="0" w:beforeAutospacing="0" w:after="0" w:afterAutospacing="0" w:line="560" w:lineRule="exact"/>
              <w:ind w:right="0" w:rightChars="0"/>
              <w:contextualSpacing/>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三、投后管理与退出协助</w:t>
            </w:r>
          </w:p>
          <w:p w14:paraId="70490BB1">
            <w:pPr>
              <w:keepNext w:val="0"/>
              <w:keepLines w:val="0"/>
              <w:numPr>
                <w:ilvl w:val="0"/>
                <w:numId w:val="0"/>
              </w:numPr>
              <w:suppressLineNumbers w:val="0"/>
              <w:snapToGrid w:val="0"/>
              <w:spacing w:before="0" w:beforeAutospacing="0" w:after="0" w:afterAutospacing="0" w:line="560" w:lineRule="exact"/>
              <w:ind w:right="0" w:rightChars="0"/>
              <w:contextualSpacing/>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 </w:t>
            </w:r>
            <w:r>
              <w:rPr>
                <w:rFonts w:hint="default" w:ascii="宋体" w:hAnsi="宋体" w:eastAsia="宋体" w:cs="宋体"/>
                <w:sz w:val="24"/>
                <w:szCs w:val="24"/>
                <w:lang w:val="en-US" w:eastAsia="zh-CN"/>
              </w:rPr>
              <w:t>监控与增值：定期跟踪已投项目的经营和财务状况，识别风险与机会，并协助被投企业解决发展问题，提升其价值。</w:t>
            </w:r>
          </w:p>
          <w:p w14:paraId="28E01FB3">
            <w:pPr>
              <w:keepNext w:val="0"/>
              <w:keepLines w:val="0"/>
              <w:numPr>
                <w:ilvl w:val="0"/>
                <w:numId w:val="0"/>
              </w:numPr>
              <w:suppressLineNumbers w:val="0"/>
              <w:snapToGrid w:val="0"/>
              <w:spacing w:before="0" w:beforeAutospacing="0" w:after="0" w:afterAutospacing="0" w:line="560" w:lineRule="exact"/>
              <w:ind w:right="0" w:rightChars="0"/>
              <w:contextualSpacing/>
              <w:jc w:val="both"/>
              <w:rPr>
                <w:rFonts w:hint="eastAsia" w:ascii="宋体" w:hAnsi="宋体" w:eastAsia="宋体" w:cs="宋体"/>
                <w:spacing w:val="-6"/>
                <w:w w:val="96"/>
                <w:kern w:val="2"/>
                <w:sz w:val="24"/>
                <w:szCs w:val="24"/>
                <w:lang w:val="en-US" w:eastAsia="zh-CN" w:bidi="ar-SA"/>
              </w:rPr>
            </w:pPr>
            <w:r>
              <w:rPr>
                <w:rFonts w:hint="eastAsia" w:ascii="宋体" w:hAnsi="宋体" w:eastAsia="宋体" w:cs="宋体"/>
                <w:sz w:val="24"/>
                <w:szCs w:val="24"/>
                <w:lang w:val="en-US" w:eastAsia="zh-CN"/>
              </w:rPr>
              <w:t xml:space="preserve">2. </w:t>
            </w:r>
            <w:r>
              <w:rPr>
                <w:rFonts w:hint="default" w:ascii="宋体" w:hAnsi="宋体" w:eastAsia="宋体" w:cs="宋体"/>
                <w:sz w:val="24"/>
                <w:szCs w:val="24"/>
                <w:lang w:val="en-US" w:eastAsia="zh-CN"/>
              </w:rPr>
              <w:t>规划退出：根据市场情况和项目发展，参与设计并协助执行投资的退出方案（如上市、股权转让、回购等），以最终实现投资收益。在项目投资完成后，持续跟踪并为实现投资回报负责。</w:t>
            </w:r>
          </w:p>
        </w:tc>
        <w:tc>
          <w:tcPr>
            <w:tcW w:w="1353" w:type="dxa"/>
            <w:shd w:val="clear" w:color="auto" w:fill="auto"/>
            <w:vAlign w:val="center"/>
          </w:tcPr>
          <w:p w14:paraId="1405F671">
            <w:pPr>
              <w:ind w:firstLine="218" w:firstLineChars="100"/>
              <w:jc w:val="center"/>
              <w:rPr>
                <w:rFonts w:hint="default" w:ascii="宋体" w:hAnsi="宋体" w:eastAsia="宋体" w:cs="宋体"/>
                <w:spacing w:val="-6"/>
                <w:w w:val="96"/>
                <w:kern w:val="2"/>
                <w:sz w:val="24"/>
                <w:szCs w:val="24"/>
                <w:lang w:val="en-US" w:eastAsia="zh-CN" w:bidi="ar-SA"/>
              </w:rPr>
            </w:pPr>
            <w:r>
              <w:rPr>
                <w:rFonts w:hint="eastAsia" w:ascii="宋体" w:hAnsi="宋体" w:eastAsia="宋体" w:cs="宋体"/>
                <w:spacing w:val="-6"/>
                <w:w w:val="96"/>
                <w:kern w:val="2"/>
                <w:sz w:val="24"/>
                <w:szCs w:val="24"/>
                <w:lang w:val="en-US" w:eastAsia="zh-CN" w:bidi="ar-SA"/>
              </w:rPr>
              <w:t>7-9万/年</w:t>
            </w:r>
          </w:p>
        </w:tc>
        <w:tc>
          <w:tcPr>
            <w:tcW w:w="4807" w:type="dxa"/>
            <w:shd w:val="clear" w:color="auto" w:fill="auto"/>
            <w:vAlign w:val="top"/>
          </w:tcPr>
          <w:p w14:paraId="3841DCF3">
            <w:pPr>
              <w:keepNext w:val="0"/>
              <w:keepLines w:val="0"/>
              <w:numPr>
                <w:ilvl w:val="0"/>
                <w:numId w:val="0"/>
              </w:numPr>
              <w:suppressLineNumbers w:val="0"/>
              <w:snapToGrid w:val="0"/>
              <w:spacing w:before="0" w:beforeAutospacing="0" w:after="0" w:afterAutospacing="0" w:line="560" w:lineRule="exact"/>
              <w:ind w:right="0" w:rightChars="0"/>
              <w:contextualSpacing/>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1.学历与专业要求：</w:t>
            </w:r>
            <w:r>
              <w:rPr>
                <w:rFonts w:hint="default" w:ascii="宋体" w:hAnsi="宋体" w:eastAsia="宋体" w:cs="宋体"/>
                <w:sz w:val="24"/>
                <w:szCs w:val="24"/>
                <w:lang w:val="en-US" w:eastAsia="zh-CN"/>
              </w:rPr>
              <w:t>本科及以上</w:t>
            </w:r>
            <w:r>
              <w:rPr>
                <w:rFonts w:hint="eastAsia" w:ascii="宋体" w:hAnsi="宋体" w:eastAsia="宋体" w:cs="宋体"/>
                <w:sz w:val="24"/>
                <w:szCs w:val="24"/>
                <w:lang w:val="en-US" w:eastAsia="zh-CN"/>
              </w:rPr>
              <w:t>学历，</w:t>
            </w:r>
            <w:r>
              <w:rPr>
                <w:rFonts w:hint="default" w:ascii="宋体" w:hAnsi="宋体" w:eastAsia="宋体" w:cs="宋体"/>
                <w:sz w:val="24"/>
                <w:szCs w:val="24"/>
                <w:lang w:val="en-US" w:eastAsia="zh-CN"/>
              </w:rPr>
              <w:t>金融学、经济学、财务、法学及</w:t>
            </w:r>
            <w:r>
              <w:rPr>
                <w:rFonts w:hint="eastAsia" w:ascii="宋体" w:hAnsi="宋体" w:eastAsia="宋体" w:cs="宋体"/>
                <w:sz w:val="24"/>
                <w:szCs w:val="24"/>
                <w:lang w:val="en-US" w:eastAsia="zh-CN"/>
              </w:rPr>
              <w:t>相关专业；</w:t>
            </w:r>
          </w:p>
          <w:p w14:paraId="21CE3179">
            <w:pPr>
              <w:keepNext w:val="0"/>
              <w:keepLines w:val="0"/>
              <w:numPr>
                <w:ilvl w:val="0"/>
                <w:numId w:val="0"/>
              </w:numPr>
              <w:suppressLineNumbers w:val="0"/>
              <w:snapToGrid w:val="0"/>
              <w:spacing w:before="0" w:beforeAutospacing="0" w:after="0" w:afterAutospacing="0" w:line="560" w:lineRule="exact"/>
              <w:ind w:right="0" w:rightChars="0"/>
              <w:contextualSpacing/>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2.工作经验：</w:t>
            </w:r>
            <w:r>
              <w:rPr>
                <w:rFonts w:hint="default" w:ascii="宋体" w:hAnsi="宋体" w:eastAsia="宋体" w:cs="宋体"/>
                <w:sz w:val="24"/>
                <w:szCs w:val="24"/>
                <w:lang w:val="en-US" w:eastAsia="zh-CN"/>
              </w:rPr>
              <w:t>要求1-3年证券公司、私募基金</w:t>
            </w:r>
            <w:bookmarkStart w:id="0" w:name="_GoBack"/>
            <w:bookmarkEnd w:id="0"/>
            <w:r>
              <w:rPr>
                <w:rFonts w:hint="default" w:ascii="宋体" w:hAnsi="宋体" w:eastAsia="宋体" w:cs="宋体"/>
                <w:sz w:val="24"/>
                <w:szCs w:val="24"/>
                <w:lang w:val="en-US" w:eastAsia="zh-CN"/>
              </w:rPr>
              <w:t>（VC/PE）、投资银行或行业研究机构</w:t>
            </w:r>
            <w:r>
              <w:rPr>
                <w:rFonts w:hint="eastAsia" w:ascii="宋体" w:hAnsi="宋体" w:eastAsia="宋体" w:cs="宋体"/>
                <w:sz w:val="24"/>
                <w:szCs w:val="24"/>
                <w:lang w:val="en-US" w:eastAsia="zh-CN"/>
              </w:rPr>
              <w:t>工作经验；</w:t>
            </w:r>
          </w:p>
          <w:p w14:paraId="5E7C23BF">
            <w:pPr>
              <w:keepNext w:val="0"/>
              <w:keepLines w:val="0"/>
              <w:numPr>
                <w:ilvl w:val="0"/>
                <w:numId w:val="0"/>
              </w:numPr>
              <w:suppressLineNumbers w:val="0"/>
              <w:snapToGrid w:val="0"/>
              <w:spacing w:before="0" w:beforeAutospacing="0" w:after="0" w:afterAutospacing="0" w:line="560" w:lineRule="exact"/>
              <w:ind w:right="0" w:rightChars="0"/>
              <w:contextualSpacing/>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3.专业能力：①能</w:t>
            </w:r>
            <w:r>
              <w:rPr>
                <w:rFonts w:hint="default" w:ascii="宋体" w:hAnsi="宋体" w:eastAsia="宋体" w:cs="宋体"/>
                <w:sz w:val="24"/>
                <w:szCs w:val="24"/>
                <w:lang w:val="en-US" w:eastAsia="zh-CN"/>
              </w:rPr>
              <w:t>深入分析特定行业，挖掘投资机会。</w:t>
            </w:r>
            <w:r>
              <w:rPr>
                <w:rFonts w:hint="eastAsia" w:ascii="宋体" w:hAnsi="宋体" w:eastAsia="宋体" w:cs="宋体"/>
                <w:sz w:val="24"/>
                <w:szCs w:val="24"/>
                <w:lang w:val="en-US" w:eastAsia="zh-CN"/>
              </w:rPr>
              <w:t>②能</w:t>
            </w:r>
            <w:r>
              <w:rPr>
                <w:rFonts w:hint="default" w:ascii="宋体" w:hAnsi="宋体" w:eastAsia="宋体" w:cs="宋体"/>
                <w:sz w:val="24"/>
                <w:szCs w:val="24"/>
                <w:lang w:val="en-US" w:eastAsia="zh-CN"/>
              </w:rPr>
              <w:t>进行财务预测、估值建模和项目尽职调查</w:t>
            </w:r>
            <w:r>
              <w:rPr>
                <w:rFonts w:hint="eastAsia" w:ascii="宋体" w:hAnsi="宋体" w:eastAsia="宋体" w:cs="宋体"/>
                <w:sz w:val="24"/>
                <w:szCs w:val="24"/>
                <w:lang w:val="en-US" w:eastAsia="zh-CN"/>
              </w:rPr>
              <w:t>分析</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③能</w:t>
            </w:r>
            <w:r>
              <w:rPr>
                <w:rFonts w:hint="default" w:ascii="宋体" w:hAnsi="宋体" w:eastAsia="宋体" w:cs="宋体"/>
                <w:sz w:val="24"/>
                <w:szCs w:val="24"/>
                <w:lang w:val="en-US" w:eastAsia="zh-CN"/>
              </w:rPr>
              <w:t>撰写投资报告，为决策提供依据</w:t>
            </w:r>
            <w:r>
              <w:rPr>
                <w:rFonts w:hint="eastAsia" w:ascii="宋体" w:hAnsi="宋体" w:eastAsia="宋体" w:cs="宋体"/>
                <w:sz w:val="24"/>
                <w:szCs w:val="24"/>
                <w:lang w:val="en-US" w:eastAsia="zh-CN"/>
              </w:rPr>
              <w:t>；</w:t>
            </w:r>
          </w:p>
          <w:p w14:paraId="01657E89">
            <w:pPr>
              <w:keepNext w:val="0"/>
              <w:keepLines w:val="0"/>
              <w:numPr>
                <w:ilvl w:val="0"/>
                <w:numId w:val="0"/>
              </w:numPr>
              <w:suppressLineNumbers w:val="0"/>
              <w:snapToGrid w:val="0"/>
              <w:spacing w:before="0" w:beforeAutospacing="0" w:after="0" w:afterAutospacing="0" w:line="560" w:lineRule="exact"/>
              <w:ind w:right="0" w:rightChars="0"/>
              <w:contextualSpacing/>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4.职业资格：</w:t>
            </w:r>
            <w:r>
              <w:rPr>
                <w:rFonts w:hint="default" w:ascii="宋体" w:hAnsi="宋体" w:eastAsia="宋体" w:cs="宋体"/>
                <w:sz w:val="24"/>
                <w:szCs w:val="24"/>
                <w:lang w:val="en-US" w:eastAsia="zh-CN"/>
              </w:rPr>
              <w:t>证券从业资格证、基金从业资格证</w:t>
            </w:r>
            <w:r>
              <w:rPr>
                <w:rFonts w:hint="eastAsia" w:ascii="宋体" w:hAnsi="宋体" w:eastAsia="宋体" w:cs="宋体"/>
                <w:sz w:val="24"/>
                <w:szCs w:val="24"/>
                <w:lang w:val="en-US" w:eastAsia="zh-CN"/>
              </w:rPr>
              <w:t>等；</w:t>
            </w:r>
          </w:p>
          <w:p w14:paraId="61FEAD2F">
            <w:pPr>
              <w:keepNext w:val="0"/>
              <w:keepLines w:val="0"/>
              <w:numPr>
                <w:ilvl w:val="0"/>
                <w:numId w:val="0"/>
              </w:numPr>
              <w:suppressLineNumbers w:val="0"/>
              <w:snapToGrid w:val="0"/>
              <w:spacing w:before="0" w:beforeAutospacing="0" w:after="0" w:afterAutospacing="0" w:line="560" w:lineRule="exact"/>
              <w:ind w:right="0" w:rightChars="0"/>
              <w:contextualSpacing/>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5.年龄要求：45岁及以下；</w:t>
            </w:r>
          </w:p>
          <w:p w14:paraId="6807E0DC">
            <w:pPr>
              <w:keepNext w:val="0"/>
              <w:keepLines w:val="0"/>
              <w:numPr>
                <w:ilvl w:val="0"/>
                <w:numId w:val="0"/>
              </w:numPr>
              <w:suppressLineNumbers w:val="0"/>
              <w:snapToGrid w:val="0"/>
              <w:spacing w:before="0" w:beforeAutospacing="0" w:after="0" w:afterAutospacing="0" w:line="560" w:lineRule="exact"/>
              <w:ind w:right="0" w:rightChars="0"/>
              <w:contextualSpacing/>
              <w:jc w:val="both"/>
              <w:rPr>
                <w:rFonts w:hint="eastAsia" w:ascii="宋体" w:hAnsi="宋体" w:eastAsia="宋体" w:cs="宋体"/>
                <w:spacing w:val="-6"/>
                <w:w w:val="96"/>
                <w:kern w:val="2"/>
                <w:sz w:val="24"/>
                <w:szCs w:val="24"/>
                <w:lang w:val="en-US" w:eastAsia="zh-CN" w:bidi="ar-SA"/>
              </w:rPr>
            </w:pPr>
            <w:r>
              <w:rPr>
                <w:rFonts w:hint="eastAsia" w:ascii="宋体" w:hAnsi="宋体" w:eastAsia="宋体" w:cs="宋体"/>
                <w:sz w:val="24"/>
                <w:szCs w:val="24"/>
                <w:lang w:val="en-US" w:eastAsia="zh-CN"/>
              </w:rPr>
              <w:t>6.其他要求：①</w:t>
            </w:r>
            <w:r>
              <w:rPr>
                <w:rFonts w:hint="default" w:ascii="宋体" w:hAnsi="宋体" w:eastAsia="宋体" w:cs="宋体"/>
                <w:sz w:val="24"/>
                <w:szCs w:val="24"/>
                <w:lang w:val="en-US" w:eastAsia="zh-CN"/>
              </w:rPr>
              <w:t>需要对行业和市场有高度的敏感度和好奇心</w:t>
            </w:r>
            <w:r>
              <w:rPr>
                <w:rFonts w:hint="eastAsia" w:ascii="宋体" w:hAnsi="宋体" w:eastAsia="宋体" w:cs="宋体"/>
                <w:sz w:val="24"/>
                <w:szCs w:val="24"/>
                <w:lang w:val="en-US" w:eastAsia="zh-CN"/>
              </w:rPr>
              <w:t>；②</w:t>
            </w:r>
            <w:r>
              <w:rPr>
                <w:rFonts w:hint="default" w:ascii="宋体" w:hAnsi="宋体" w:eastAsia="宋体" w:cs="宋体"/>
                <w:sz w:val="24"/>
                <w:szCs w:val="24"/>
                <w:lang w:val="en-US" w:eastAsia="zh-CN"/>
              </w:rPr>
              <w:t>需具备强大的逻辑思维、分析判断和抗压能力</w:t>
            </w:r>
            <w:r>
              <w:rPr>
                <w:rFonts w:hint="eastAsia" w:ascii="宋体" w:hAnsi="宋体" w:eastAsia="宋体" w:cs="宋体"/>
                <w:sz w:val="24"/>
                <w:szCs w:val="24"/>
                <w:lang w:val="en-US" w:eastAsia="zh-CN"/>
              </w:rPr>
              <w:t>；③</w:t>
            </w:r>
            <w:r>
              <w:rPr>
                <w:rFonts w:hint="default" w:ascii="宋体" w:hAnsi="宋体" w:eastAsia="宋体" w:cs="宋体"/>
                <w:sz w:val="24"/>
                <w:szCs w:val="24"/>
                <w:lang w:val="en-US" w:eastAsia="zh-CN"/>
              </w:rPr>
              <w:t>要求优秀的报告撰写能力</w:t>
            </w:r>
            <w:r>
              <w:rPr>
                <w:rFonts w:hint="eastAsia" w:ascii="宋体" w:hAnsi="宋体" w:eastAsia="宋体" w:cs="宋体"/>
                <w:sz w:val="24"/>
                <w:szCs w:val="24"/>
                <w:lang w:val="en-US" w:eastAsia="zh-CN"/>
              </w:rPr>
              <w:t>;④需承诺长期在招聘单位所在地发展；⑤有较强的责任心与执行力，能接受加班;⑥有国企或政府相关工作经验者优先，党员优先。</w:t>
            </w:r>
          </w:p>
        </w:tc>
      </w:tr>
      <w:tr w14:paraId="505B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2813" w:hRule="atLeast"/>
          <w:jc w:val="center"/>
        </w:trPr>
        <w:tc>
          <w:tcPr>
            <w:tcW w:w="728" w:type="dxa"/>
            <w:shd w:val="clear" w:color="auto" w:fill="auto"/>
            <w:vAlign w:val="center"/>
          </w:tcPr>
          <w:p w14:paraId="1CFE244D">
            <w:pPr>
              <w:snapToGrid w:val="0"/>
              <w:ind w:firstLine="218" w:firstLineChars="100"/>
              <w:jc w:val="both"/>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921" w:type="dxa"/>
            <w:shd w:val="clear" w:color="auto" w:fill="auto"/>
            <w:vAlign w:val="center"/>
          </w:tcPr>
          <w:p w14:paraId="3870FDB0">
            <w:pPr>
              <w:snapToGrid w:val="0"/>
              <w:jc w:val="both"/>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市场投融部</w:t>
            </w:r>
          </w:p>
        </w:tc>
        <w:tc>
          <w:tcPr>
            <w:tcW w:w="1443" w:type="dxa"/>
            <w:shd w:val="clear" w:color="auto" w:fill="auto"/>
            <w:vAlign w:val="center"/>
          </w:tcPr>
          <w:p w14:paraId="57C37110">
            <w:pPr>
              <w:snapToGrid w:val="0"/>
              <w:jc w:val="both"/>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融资专员岗</w:t>
            </w:r>
          </w:p>
        </w:tc>
        <w:tc>
          <w:tcPr>
            <w:tcW w:w="668" w:type="dxa"/>
            <w:shd w:val="clear" w:color="auto" w:fill="auto"/>
            <w:vAlign w:val="center"/>
          </w:tcPr>
          <w:p w14:paraId="69C3FADF">
            <w:pPr>
              <w:snapToGrid w:val="0"/>
              <w:ind w:firstLine="218" w:firstLineChars="100"/>
              <w:jc w:val="both"/>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4254" w:type="dxa"/>
            <w:shd w:val="clear" w:color="auto" w:fill="auto"/>
            <w:vAlign w:val="center"/>
          </w:tcPr>
          <w:p w14:paraId="33BF3313">
            <w:pPr>
              <w:keepNext w:val="0"/>
              <w:keepLines w:val="0"/>
              <w:numPr>
                <w:ilvl w:val="0"/>
                <w:numId w:val="2"/>
              </w:numPr>
              <w:suppressLineNumbers w:val="0"/>
              <w:snapToGrid w:val="0"/>
              <w:spacing w:before="0" w:beforeAutospacing="0" w:after="0" w:afterAutospacing="0" w:line="560" w:lineRule="exact"/>
              <w:ind w:left="0" w:right="0"/>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融资计划与执行</w:t>
            </w:r>
            <w:r>
              <w:rPr>
                <w:rFonts w:hint="default" w:ascii="宋体" w:hAnsi="宋体" w:eastAsia="宋体" w:cs="宋体"/>
                <w:sz w:val="24"/>
                <w:szCs w:val="24"/>
                <w:lang w:val="en-US" w:eastAsia="zh-CN"/>
              </w:rPr>
              <w:t>：参与制定并执行公司融资方案，开拓和维护银行、信托、券商、基金等融资渠道，确保融资目标达成。</w:t>
            </w:r>
          </w:p>
          <w:p w14:paraId="42538766">
            <w:pPr>
              <w:keepNext w:val="0"/>
              <w:keepLines w:val="0"/>
              <w:numPr>
                <w:ilvl w:val="0"/>
                <w:numId w:val="2"/>
              </w:numPr>
              <w:suppressLineNumbers w:val="0"/>
              <w:snapToGrid w:val="0"/>
              <w:spacing w:before="0" w:beforeAutospacing="0" w:after="0" w:afterAutospacing="0" w:line="560" w:lineRule="exact"/>
              <w:ind w:left="0" w:right="0"/>
              <w:contextualSpacing/>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项目材料准备：负责撰写、准备和报送各类融资项目申请材料（包括但不限于可行性报告、商业计划书、财务报表等），并跟进审批流程。</w:t>
            </w:r>
          </w:p>
          <w:p w14:paraId="3C5E84FC">
            <w:pPr>
              <w:keepNext w:val="0"/>
              <w:keepLines w:val="0"/>
              <w:numPr>
                <w:ilvl w:val="0"/>
                <w:numId w:val="2"/>
              </w:numPr>
              <w:suppressLineNumbers w:val="0"/>
              <w:snapToGrid w:val="0"/>
              <w:spacing w:before="0" w:beforeAutospacing="0" w:after="0" w:afterAutospacing="0" w:line="560" w:lineRule="exact"/>
              <w:ind w:left="0" w:right="0"/>
              <w:contextualSpacing/>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关系维护：建立并维护与金融机构、投资机构及相关中介机构的良好合作关系，及时获取市场融资信息与政策。</w:t>
            </w:r>
          </w:p>
          <w:p w14:paraId="5D2AF1B3">
            <w:pPr>
              <w:keepNext w:val="0"/>
              <w:keepLines w:val="0"/>
              <w:numPr>
                <w:ilvl w:val="0"/>
                <w:numId w:val="2"/>
              </w:numPr>
              <w:suppressLineNumbers w:val="0"/>
              <w:snapToGrid w:val="0"/>
              <w:spacing w:before="0" w:beforeAutospacing="0" w:after="0" w:afterAutospacing="0" w:line="560" w:lineRule="exact"/>
              <w:ind w:left="0" w:right="0"/>
              <w:contextualSpacing/>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贷后管理：负责融资资金的到账管理，协调完成后续的抵押、质押等手续，并确保落实贷后监控与偿还工作。</w:t>
            </w:r>
          </w:p>
          <w:p w14:paraId="3F086173">
            <w:pPr>
              <w:keepNext w:val="0"/>
              <w:keepLines w:val="0"/>
              <w:numPr>
                <w:ilvl w:val="0"/>
                <w:numId w:val="2"/>
              </w:numPr>
              <w:suppressLineNumbers w:val="0"/>
              <w:snapToGrid w:val="0"/>
              <w:spacing w:before="0" w:beforeAutospacing="0" w:after="0" w:afterAutospacing="0" w:line="560" w:lineRule="exact"/>
              <w:ind w:left="0" w:right="0"/>
              <w:contextualSpacing/>
              <w:jc w:val="left"/>
              <w:rPr>
                <w:rFonts w:hint="eastAsia" w:ascii="宋体" w:hAnsi="宋体" w:eastAsia="宋体" w:cs="宋体"/>
                <w:color w:val="auto"/>
                <w:sz w:val="24"/>
                <w:szCs w:val="24"/>
                <w:vertAlign w:val="baseline"/>
                <w:lang w:val="en-US" w:eastAsia="zh-CN"/>
              </w:rPr>
            </w:pPr>
            <w:r>
              <w:rPr>
                <w:rFonts w:hint="default" w:ascii="宋体" w:hAnsi="宋体" w:eastAsia="宋体" w:cs="宋体"/>
                <w:sz w:val="24"/>
                <w:szCs w:val="24"/>
                <w:lang w:val="en-US" w:eastAsia="zh-CN"/>
              </w:rPr>
              <w:t>内部协调：协同财务、法务等内部部门，保障融资流程的合规性与高效性，完成领导交办的其他相关工作。</w:t>
            </w:r>
          </w:p>
        </w:tc>
        <w:tc>
          <w:tcPr>
            <w:tcW w:w="1353" w:type="dxa"/>
            <w:shd w:val="clear" w:color="auto" w:fill="auto"/>
            <w:vAlign w:val="center"/>
          </w:tcPr>
          <w:p w14:paraId="1AF8A204">
            <w:pPr>
              <w:snapToGrid w:val="0"/>
              <w:jc w:val="right"/>
              <w:rPr>
                <w:rFonts w:hint="default" w:ascii="宋体" w:hAnsi="宋体" w:eastAsia="宋体" w:cs="宋体"/>
                <w:color w:val="auto"/>
                <w:sz w:val="24"/>
                <w:szCs w:val="24"/>
                <w:vertAlign w:val="baseline"/>
                <w:lang w:val="en-US" w:eastAsia="zh-CN"/>
              </w:rPr>
            </w:pPr>
            <w:r>
              <w:rPr>
                <w:rFonts w:hint="eastAsia" w:ascii="宋体" w:eastAsia="宋体" w:hAnsiTheme="minorEastAsia" w:cstheme="minorEastAsia"/>
                <w:sz w:val="24"/>
                <w:szCs w:val="24"/>
                <w:vertAlign w:val="baseline"/>
                <w:lang w:val="en-US" w:eastAsia="zh-CN"/>
              </w:rPr>
              <w:t>9-14万/年</w:t>
            </w:r>
          </w:p>
        </w:tc>
        <w:tc>
          <w:tcPr>
            <w:tcW w:w="4807" w:type="dxa"/>
            <w:shd w:val="clear" w:color="auto" w:fill="auto"/>
            <w:vAlign w:val="center"/>
          </w:tcPr>
          <w:p w14:paraId="4A16843A">
            <w:pPr>
              <w:numPr>
                <w:ilvl w:val="0"/>
                <w:numId w:val="3"/>
              </w:num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学历与专业要求：本科及以上学历，财政、金融、财务管理、会计、经济专业；</w:t>
            </w:r>
          </w:p>
          <w:p w14:paraId="1E57E824">
            <w:pPr>
              <w:numPr>
                <w:ilvl w:val="0"/>
                <w:numId w:val="3"/>
              </w:numPr>
              <w:snapToGrid w:val="0"/>
              <w:spacing w:line="560" w:lineRule="exact"/>
              <w:ind w:left="0" w:leftChars="0" w:firstLine="0" w:firstLineChars="0"/>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工作经验：5年及以上财务管理、财务会计、投融资工作经验；</w:t>
            </w:r>
          </w:p>
          <w:p w14:paraId="3F84DD33">
            <w:pPr>
              <w:numPr>
                <w:ilvl w:val="0"/>
                <w:numId w:val="3"/>
              </w:numPr>
              <w:snapToGrid w:val="0"/>
              <w:spacing w:line="560" w:lineRule="exact"/>
              <w:ind w:left="0" w:leftChars="0" w:firstLine="0" w:firstLineChars="0"/>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专业能力：熟练使用各种财务软件、办公软件；要求具备融资领域的专业知识，个人可独立完成相关工作处理；</w:t>
            </w:r>
          </w:p>
          <w:p w14:paraId="639277DD">
            <w:pPr>
              <w:numPr>
                <w:ilvl w:val="0"/>
                <w:numId w:val="3"/>
              </w:numPr>
              <w:snapToGrid w:val="0"/>
              <w:spacing w:line="560" w:lineRule="exact"/>
              <w:ind w:left="0" w:leftChars="0" w:firstLine="0" w:firstLineChars="0"/>
              <w:contextualSpacing/>
              <w:jc w:val="left"/>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职业资格：要求持有</w:t>
            </w:r>
            <w:r>
              <w:rPr>
                <w:rFonts w:hint="eastAsia" w:ascii="宋体" w:hAnsi="宋体" w:eastAsia="宋体" w:cs="宋体"/>
                <w:color w:val="auto"/>
                <w:sz w:val="24"/>
                <w:szCs w:val="24"/>
                <w:lang w:val="en-US" w:eastAsia="zh-CN"/>
              </w:rPr>
              <w:t>会计、经济类初级及以上职称；</w:t>
            </w:r>
          </w:p>
          <w:p w14:paraId="264C9C30">
            <w:pPr>
              <w:numPr>
                <w:ilvl w:val="0"/>
                <w:numId w:val="3"/>
              </w:numPr>
              <w:snapToGrid w:val="0"/>
              <w:spacing w:line="560" w:lineRule="exact"/>
              <w:ind w:left="0" w:leftChars="0" w:firstLine="0" w:firstLineChars="0"/>
              <w:contextualSpacing/>
              <w:jc w:val="left"/>
              <w:rPr>
                <w:rFonts w:hint="eastAsia" w:ascii="宋体" w:hAnsi="宋体" w:eastAsia="宋体" w:cs="宋体"/>
                <w:color w:val="auto"/>
                <w:sz w:val="24"/>
                <w:szCs w:val="24"/>
                <w:vertAlign w:val="baseline"/>
                <w:lang w:val="en-US" w:eastAsia="zh-CN"/>
              </w:rPr>
            </w:pPr>
            <w:r>
              <w:rPr>
                <w:rFonts w:hint="eastAsia" w:ascii="宋体" w:hAnsi="宋体" w:eastAsia="宋体" w:cs="宋体"/>
                <w:sz w:val="24"/>
                <w:szCs w:val="24"/>
                <w:lang w:val="en-US" w:eastAsia="zh-CN"/>
              </w:rPr>
              <w:t>年龄要求：年龄</w:t>
            </w:r>
            <w:r>
              <w:rPr>
                <w:rFonts w:hint="eastAsia" w:ascii="宋体" w:hAnsi="宋体" w:eastAsia="宋体" w:cs="宋体"/>
                <w:color w:val="auto"/>
                <w:sz w:val="24"/>
                <w:szCs w:val="24"/>
                <w:lang w:val="en-US" w:eastAsia="zh-CN"/>
              </w:rPr>
              <w:t>45</w:t>
            </w:r>
            <w:r>
              <w:rPr>
                <w:rFonts w:hint="eastAsia" w:ascii="宋体" w:hAnsi="宋体" w:eastAsia="宋体" w:cs="宋体"/>
                <w:sz w:val="24"/>
                <w:szCs w:val="24"/>
                <w:lang w:val="en-US" w:eastAsia="zh-CN"/>
              </w:rPr>
              <w:t>岁及以下；</w:t>
            </w:r>
          </w:p>
          <w:p w14:paraId="1B1829D5">
            <w:pPr>
              <w:numPr>
                <w:ilvl w:val="0"/>
                <w:numId w:val="3"/>
              </w:numPr>
              <w:snapToGrid w:val="0"/>
              <w:spacing w:line="560" w:lineRule="exact"/>
              <w:ind w:left="0" w:leftChars="0" w:firstLine="0" w:firstLineChars="0"/>
              <w:contextualSpacing/>
              <w:jc w:val="left"/>
              <w:rPr>
                <w:rFonts w:hint="eastAsia" w:ascii="宋体" w:hAnsi="宋体" w:eastAsia="宋体" w:cs="宋体"/>
                <w:color w:val="auto"/>
                <w:sz w:val="24"/>
                <w:szCs w:val="24"/>
                <w:vertAlign w:val="baseline"/>
                <w:lang w:val="en-US" w:eastAsia="zh-CN"/>
              </w:rPr>
            </w:pPr>
            <w:r>
              <w:rPr>
                <w:rFonts w:hint="eastAsia" w:ascii="宋体" w:hAnsi="宋体" w:eastAsia="宋体" w:cs="宋体"/>
                <w:sz w:val="24"/>
                <w:szCs w:val="24"/>
                <w:lang w:val="en-US" w:eastAsia="zh-CN"/>
              </w:rPr>
              <w:t>其他要求：（1）稳定性：需承诺长期在招聘单位所在地发展；（2）有较强的责任心与执行力，能接受加班。（3）有国企或政府相关工作经验者优先，党员优先。</w:t>
            </w:r>
          </w:p>
        </w:tc>
      </w:tr>
      <w:tr w14:paraId="2209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728" w:type="dxa"/>
            <w:shd w:val="clear" w:color="auto" w:fill="E7E6E6" w:themeFill="background2"/>
            <w:vAlign w:val="center"/>
          </w:tcPr>
          <w:p w14:paraId="0746E4CB">
            <w:pPr>
              <w:snapToGrid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w:t>
            </w:r>
          </w:p>
        </w:tc>
        <w:tc>
          <w:tcPr>
            <w:tcW w:w="921" w:type="dxa"/>
            <w:shd w:val="clear" w:color="auto" w:fill="E7E6E6" w:themeFill="background2"/>
            <w:vAlign w:val="center"/>
          </w:tcPr>
          <w:p w14:paraId="3E0C804A">
            <w:pPr>
              <w:snapToGrid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子公司</w:t>
            </w:r>
          </w:p>
        </w:tc>
        <w:tc>
          <w:tcPr>
            <w:tcW w:w="1443" w:type="dxa"/>
            <w:shd w:val="clear" w:color="auto" w:fill="E7E6E6" w:themeFill="background2"/>
            <w:vAlign w:val="center"/>
          </w:tcPr>
          <w:p w14:paraId="25E29BC1">
            <w:pPr>
              <w:snapToGrid w:val="0"/>
              <w:jc w:val="center"/>
              <w:rPr>
                <w:rFonts w:hint="eastAsia" w:ascii="宋体" w:hAnsi="宋体" w:eastAsia="宋体" w:cs="宋体"/>
                <w:sz w:val="24"/>
                <w:szCs w:val="24"/>
                <w:vertAlign w:val="baseline"/>
                <w:lang w:val="en-US" w:eastAsia="zh-CN"/>
              </w:rPr>
            </w:pPr>
          </w:p>
        </w:tc>
        <w:tc>
          <w:tcPr>
            <w:tcW w:w="668" w:type="dxa"/>
            <w:shd w:val="clear" w:color="auto" w:fill="E7E6E6" w:themeFill="background2"/>
            <w:vAlign w:val="center"/>
          </w:tcPr>
          <w:p w14:paraId="6553CD7E">
            <w:pPr>
              <w:snapToGrid w:val="0"/>
              <w:spacing w:line="560" w:lineRule="exact"/>
              <w:contextualSpacing/>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254" w:type="dxa"/>
            <w:shd w:val="clear" w:color="auto" w:fill="E7E6E6" w:themeFill="background2"/>
            <w:vAlign w:val="center"/>
          </w:tcPr>
          <w:p w14:paraId="593692C2">
            <w:pPr>
              <w:snapToGrid w:val="0"/>
              <w:spacing w:line="560" w:lineRule="exact"/>
              <w:contextualSpacing/>
              <w:jc w:val="left"/>
              <w:rPr>
                <w:rFonts w:hint="eastAsia" w:ascii="宋体" w:hAnsi="宋体" w:eastAsia="宋体" w:cs="宋体"/>
                <w:sz w:val="24"/>
                <w:szCs w:val="24"/>
                <w:lang w:val="en-US" w:eastAsia="zh-CN"/>
              </w:rPr>
            </w:pPr>
          </w:p>
        </w:tc>
        <w:tc>
          <w:tcPr>
            <w:tcW w:w="1353" w:type="dxa"/>
            <w:shd w:val="clear" w:color="auto" w:fill="E7E6E6" w:themeFill="background2"/>
            <w:vAlign w:val="center"/>
          </w:tcPr>
          <w:p w14:paraId="7A57A378">
            <w:pPr>
              <w:snapToGrid w:val="0"/>
              <w:jc w:val="right"/>
              <w:rPr>
                <w:rFonts w:hint="eastAsia" w:ascii="宋体" w:hAnsi="宋体" w:eastAsia="宋体" w:cs="宋体"/>
                <w:sz w:val="24"/>
                <w:szCs w:val="24"/>
                <w:vertAlign w:val="baseline"/>
              </w:rPr>
            </w:pPr>
          </w:p>
        </w:tc>
        <w:tc>
          <w:tcPr>
            <w:tcW w:w="4807" w:type="dxa"/>
            <w:shd w:val="clear" w:color="auto" w:fill="E7E6E6" w:themeFill="background2"/>
            <w:vAlign w:val="center"/>
          </w:tcPr>
          <w:p w14:paraId="51CC0831">
            <w:pPr>
              <w:snapToGrid w:val="0"/>
              <w:spacing w:line="560" w:lineRule="exact"/>
              <w:contextualSpacing/>
              <w:jc w:val="left"/>
              <w:rPr>
                <w:rFonts w:hint="eastAsia" w:ascii="宋体" w:hAnsi="宋体" w:eastAsia="宋体" w:cs="宋体"/>
                <w:sz w:val="24"/>
                <w:szCs w:val="24"/>
                <w:lang w:val="en-US" w:eastAsia="zh-CN"/>
              </w:rPr>
            </w:pPr>
          </w:p>
        </w:tc>
      </w:tr>
      <w:tr w14:paraId="0C9A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728" w:type="dxa"/>
            <w:shd w:val="clear" w:color="auto" w:fill="auto"/>
            <w:vAlign w:val="center"/>
          </w:tcPr>
          <w:p w14:paraId="2B00DA26">
            <w:pPr>
              <w:snapToGrid w:val="0"/>
              <w:ind w:firstLine="218" w:firstLineChars="10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21" w:type="dxa"/>
            <w:shd w:val="clear" w:color="auto" w:fill="auto"/>
            <w:vAlign w:val="center"/>
          </w:tcPr>
          <w:p w14:paraId="1AB314C7">
            <w:pPr>
              <w:snapToGrid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凤泉公司</w:t>
            </w:r>
          </w:p>
        </w:tc>
        <w:tc>
          <w:tcPr>
            <w:tcW w:w="1443" w:type="dxa"/>
            <w:shd w:val="clear" w:color="auto" w:fill="auto"/>
            <w:vAlign w:val="center"/>
          </w:tcPr>
          <w:p w14:paraId="22680FC3">
            <w:pPr>
              <w:snapToGrid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招投标专员岗</w:t>
            </w:r>
          </w:p>
        </w:tc>
        <w:tc>
          <w:tcPr>
            <w:tcW w:w="668" w:type="dxa"/>
            <w:shd w:val="clear" w:color="auto" w:fill="auto"/>
            <w:vAlign w:val="center"/>
          </w:tcPr>
          <w:p w14:paraId="28EE8CAF">
            <w:pPr>
              <w:snapToGrid w:val="0"/>
              <w:spacing w:line="560" w:lineRule="exact"/>
              <w:ind w:firstLine="218" w:firstLineChars="100"/>
              <w:contextualSpacing/>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254" w:type="dxa"/>
            <w:shd w:val="clear" w:color="auto" w:fill="auto"/>
            <w:vAlign w:val="center"/>
          </w:tcPr>
          <w:p w14:paraId="64690DC8">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sz w:val="24"/>
                <w:szCs w:val="24"/>
                <w:lang w:val="en-US" w:eastAsia="zh-CN"/>
              </w:rPr>
              <w:t>收集分析招标平台信息，筛选符合公司业务的项目。准备相关的招投标文件和资料，确保招标工作的顺利开展。</w:t>
            </w:r>
          </w:p>
          <w:p w14:paraId="1B661749">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2.负责投标文件的编制、排版、打印、装订及归档等工作，确保标书按时完成并符合招标要求。协助处理投标过程中的事务工作，如投标文件的编制、寄送等。</w:t>
            </w:r>
          </w:p>
          <w:p w14:paraId="3FA5D62D">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3.负责投标资料归档，将招投标公告、投标文件、 中标通知书等资料分类存档，建立完善的投标档案库。</w:t>
            </w:r>
          </w:p>
          <w:p w14:paraId="147F01FD">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4.参与合同签订工作，并对中标项目进行落实与跟踪，确保合同顺利进行。对合同进行整纳归档建立台账，防止合同遗失、泄露。</w:t>
            </w:r>
          </w:p>
          <w:p w14:paraId="757AE6C7">
            <w:pPr>
              <w:snapToGrid w:val="0"/>
              <w:spacing w:line="560" w:lineRule="exact"/>
              <w:contextualSpacing/>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5.</w:t>
            </w:r>
            <w:r>
              <w:rPr>
                <w:rFonts w:hint="eastAsia" w:ascii="宋体" w:hAnsi="宋体" w:eastAsia="宋体" w:cs="宋体"/>
                <w:sz w:val="24"/>
                <w:szCs w:val="24"/>
                <w:lang w:val="en-US" w:eastAsia="zh-CN"/>
              </w:rPr>
              <w:t>参与投标项目的资格预审。</w:t>
            </w:r>
          </w:p>
        </w:tc>
        <w:tc>
          <w:tcPr>
            <w:tcW w:w="1353" w:type="dxa"/>
            <w:shd w:val="clear" w:color="auto" w:fill="auto"/>
            <w:vAlign w:val="center"/>
          </w:tcPr>
          <w:p w14:paraId="3604D6A4">
            <w:pPr>
              <w:snapToGrid w:val="0"/>
              <w:jc w:val="right"/>
              <w:rPr>
                <w:rFonts w:hint="eastAsia" w:ascii="宋体" w:eastAsia="宋体" w:hAnsiTheme="minorEastAsia" w:cstheme="minorEastAsia"/>
                <w:sz w:val="24"/>
                <w:szCs w:val="24"/>
                <w:vertAlign w:val="baseline"/>
                <w:lang w:val="en-US" w:eastAsia="zh-CN"/>
              </w:rPr>
            </w:pPr>
          </w:p>
          <w:p w14:paraId="6ECBE676">
            <w:pPr>
              <w:snapToGrid w:val="0"/>
              <w:ind w:firstLine="218" w:firstLineChars="100"/>
              <w:jc w:val="center"/>
              <w:rPr>
                <w:rFonts w:hint="eastAsia" w:ascii="宋体" w:hAnsi="宋体" w:eastAsia="宋体" w:cs="宋体"/>
                <w:sz w:val="24"/>
                <w:szCs w:val="24"/>
                <w:vertAlign w:val="baseline"/>
              </w:rPr>
            </w:pPr>
            <w:r>
              <w:rPr>
                <w:rFonts w:hint="eastAsia" w:ascii="宋体" w:eastAsia="宋体" w:hAnsiTheme="minorEastAsia" w:cstheme="minorEastAsia"/>
                <w:sz w:val="24"/>
                <w:szCs w:val="24"/>
                <w:vertAlign w:val="baseline"/>
                <w:lang w:val="en-US" w:eastAsia="zh-CN"/>
              </w:rPr>
              <w:t>7-9万/年</w:t>
            </w:r>
          </w:p>
        </w:tc>
        <w:tc>
          <w:tcPr>
            <w:tcW w:w="4807" w:type="dxa"/>
            <w:shd w:val="clear" w:color="auto" w:fill="auto"/>
            <w:vAlign w:val="center"/>
          </w:tcPr>
          <w:p w14:paraId="62FD4436">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kern w:val="2"/>
                <w:sz w:val="22"/>
                <w:szCs w:val="22"/>
                <w:lang w:val="en-US" w:eastAsia="zh-CN" w:bidi="ar-SA"/>
              </w:rPr>
              <w:t>1.</w:t>
            </w:r>
            <w:r>
              <w:rPr>
                <w:rFonts w:hint="eastAsia" w:ascii="宋体" w:hAnsi="宋体" w:eastAsia="宋体" w:cs="宋体"/>
                <w:sz w:val="24"/>
                <w:szCs w:val="24"/>
                <w:lang w:val="en-US" w:eastAsia="zh-CN"/>
              </w:rPr>
              <w:t>学历及专业要求：本科及以上学历，工程管理、工程造价、土木工程、财务管理等相关专业；</w:t>
            </w:r>
          </w:p>
          <w:p w14:paraId="2D45186E">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2.工作经验：同岗位工作经验</w:t>
            </w: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年及以上，具有良好的语言表达能力和沟通技巧；</w:t>
            </w:r>
          </w:p>
          <w:p w14:paraId="6B002404">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3.专业能力：熟知《招投标法》、《招投标法实施条例》、《政府采购法》、《政府采购法实施条例》，熟练掌握招投标文件编制，熟悉招投标流程，具备基础的造价核算能力，能协助完成报价测算；</w:t>
            </w:r>
          </w:p>
          <w:p w14:paraId="0CA0368B">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4.职业资格：</w:t>
            </w:r>
            <w:r>
              <w:rPr>
                <w:rFonts w:hint="eastAsia" w:ascii="宋体" w:hAnsi="宋体" w:eastAsia="宋体" w:cs="宋体"/>
                <w:color w:val="auto"/>
                <w:sz w:val="24"/>
                <w:szCs w:val="24"/>
                <w:lang w:val="en-US" w:eastAsia="zh-CN"/>
              </w:rPr>
              <w:t>持有建筑行业相关证书优先</w:t>
            </w:r>
            <w:r>
              <w:rPr>
                <w:rFonts w:hint="eastAsia" w:ascii="宋体" w:hAnsi="宋体" w:eastAsia="宋体" w:cs="宋体"/>
                <w:sz w:val="24"/>
                <w:szCs w:val="24"/>
                <w:lang w:val="en-US" w:eastAsia="zh-CN"/>
              </w:rPr>
              <w:t>；</w:t>
            </w:r>
          </w:p>
          <w:p w14:paraId="7B53AB83">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5.年龄要求：年龄</w:t>
            </w:r>
            <w:r>
              <w:rPr>
                <w:rFonts w:hint="eastAsia" w:ascii="宋体" w:hAnsi="宋体" w:eastAsia="宋体" w:cs="宋体"/>
                <w:color w:val="auto"/>
                <w:sz w:val="24"/>
                <w:szCs w:val="24"/>
                <w:lang w:val="en-US" w:eastAsia="zh-CN"/>
              </w:rPr>
              <w:t>35</w:t>
            </w:r>
            <w:r>
              <w:rPr>
                <w:rFonts w:hint="eastAsia" w:ascii="宋体" w:hAnsi="宋体" w:eastAsia="宋体" w:cs="宋体"/>
                <w:sz w:val="24"/>
                <w:szCs w:val="24"/>
                <w:lang w:val="en-US" w:eastAsia="zh-CN"/>
              </w:rPr>
              <w:t>岁及以下；</w:t>
            </w:r>
          </w:p>
          <w:p w14:paraId="22DFE3A3">
            <w:pPr>
              <w:snapToGrid w:val="0"/>
              <w:spacing w:line="560" w:lineRule="exact"/>
              <w:contextualSpacing/>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其他要求：（1）稳定性：需承诺长期在招聘单位所在地发展；（2）有较强的责任心与执行力，能接受加班。</w:t>
            </w:r>
          </w:p>
        </w:tc>
      </w:tr>
      <w:tr w14:paraId="513D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728" w:type="dxa"/>
            <w:vAlign w:val="center"/>
          </w:tcPr>
          <w:p w14:paraId="0C34454F">
            <w:pPr>
              <w:snapToGrid w:val="0"/>
              <w:ind w:firstLine="218" w:firstLineChars="100"/>
              <w:jc w:val="both"/>
              <w:rPr>
                <w:rFonts w:hint="default" w:ascii="宋体" w:eastAsia="宋体" w:hAnsiTheme="minorEastAsia" w:cstheme="minorEastAsia"/>
                <w:sz w:val="24"/>
                <w:szCs w:val="24"/>
                <w:vertAlign w:val="baseline"/>
                <w:lang w:val="en-US" w:eastAsia="zh-CN"/>
              </w:rPr>
            </w:pPr>
            <w:r>
              <w:rPr>
                <w:rFonts w:hint="eastAsia" w:ascii="宋体" w:eastAsia="宋体" w:hAnsiTheme="minorEastAsia" w:cstheme="minorEastAsia"/>
                <w:sz w:val="24"/>
                <w:szCs w:val="24"/>
                <w:vertAlign w:val="baseline"/>
                <w:lang w:val="en-US" w:eastAsia="zh-CN"/>
              </w:rPr>
              <w:t>6</w:t>
            </w:r>
          </w:p>
        </w:tc>
        <w:tc>
          <w:tcPr>
            <w:tcW w:w="921" w:type="dxa"/>
            <w:shd w:val="clear" w:color="auto" w:fill="auto"/>
            <w:vAlign w:val="center"/>
          </w:tcPr>
          <w:p w14:paraId="369FAD34">
            <w:pPr>
              <w:snapToGrid w:val="0"/>
              <w:spacing w:line="560" w:lineRule="exact"/>
              <w:contextualSpacing/>
              <w:jc w:val="both"/>
              <w:rPr>
                <w:rFonts w:hint="eastAsia" w:ascii="宋体" w:eastAsia="宋体" w:hAnsiTheme="minorEastAsia" w:cstheme="minorEastAsia"/>
                <w:spacing w:val="-6"/>
                <w:w w:val="96"/>
                <w:kern w:val="2"/>
                <w:sz w:val="24"/>
                <w:szCs w:val="24"/>
                <w:lang w:val="en-US" w:eastAsia="zh-CN" w:bidi="ar-SA"/>
              </w:rPr>
            </w:pPr>
            <w:r>
              <w:rPr>
                <w:rFonts w:hint="eastAsia" w:ascii="宋体" w:eastAsia="宋体" w:hAnsiTheme="minorEastAsia" w:cstheme="minorEastAsia"/>
                <w:sz w:val="24"/>
                <w:szCs w:val="24"/>
              </w:rPr>
              <w:t>九龙堡</w:t>
            </w:r>
            <w:r>
              <w:rPr>
                <w:rFonts w:hint="eastAsia" w:ascii="宋体" w:eastAsia="宋体" w:hAnsiTheme="minorEastAsia" w:cstheme="minorEastAsia"/>
                <w:sz w:val="24"/>
                <w:szCs w:val="24"/>
                <w:lang w:val="en-US" w:eastAsia="zh-CN"/>
              </w:rPr>
              <w:t>饮用水</w:t>
            </w:r>
            <w:r>
              <w:rPr>
                <w:rFonts w:hint="eastAsia" w:ascii="宋体" w:eastAsia="宋体" w:hAnsiTheme="minorEastAsia" w:cstheme="minorEastAsia"/>
                <w:sz w:val="24"/>
                <w:szCs w:val="24"/>
              </w:rPr>
              <w:t>公司</w:t>
            </w:r>
          </w:p>
        </w:tc>
        <w:tc>
          <w:tcPr>
            <w:tcW w:w="1443" w:type="dxa"/>
            <w:shd w:val="clear" w:color="auto" w:fill="auto"/>
            <w:vAlign w:val="center"/>
          </w:tcPr>
          <w:p w14:paraId="2ACBE54B">
            <w:pPr>
              <w:snapToGrid w:val="0"/>
              <w:spacing w:line="560" w:lineRule="exact"/>
              <w:contextualSpacing/>
              <w:jc w:val="both"/>
              <w:rPr>
                <w:rFonts w:hint="eastAsia" w:ascii="宋体" w:eastAsia="宋体" w:hAnsiTheme="minorEastAsia" w:cstheme="minorEastAsia"/>
                <w:spacing w:val="-6"/>
                <w:w w:val="96"/>
                <w:kern w:val="2"/>
                <w:sz w:val="24"/>
                <w:szCs w:val="24"/>
                <w:lang w:val="en-US" w:eastAsia="zh-CN" w:bidi="ar-SA"/>
              </w:rPr>
            </w:pPr>
            <w:r>
              <w:rPr>
                <w:rFonts w:hint="eastAsia" w:ascii="宋体" w:eastAsia="宋体" w:hAnsiTheme="minorEastAsia" w:cstheme="minorEastAsia"/>
                <w:sz w:val="24"/>
                <w:szCs w:val="24"/>
              </w:rPr>
              <w:t>水质检测岗</w:t>
            </w:r>
          </w:p>
        </w:tc>
        <w:tc>
          <w:tcPr>
            <w:tcW w:w="668" w:type="dxa"/>
            <w:vAlign w:val="center"/>
          </w:tcPr>
          <w:p w14:paraId="3A08CF42">
            <w:pPr>
              <w:snapToGrid w:val="0"/>
              <w:spacing w:line="560" w:lineRule="exact"/>
              <w:ind w:firstLine="218" w:firstLineChars="100"/>
              <w:contextualSpacing/>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254" w:type="dxa"/>
            <w:vAlign w:val="center"/>
          </w:tcPr>
          <w:p w14:paraId="2D6632DB">
            <w:pPr>
              <w:snapToGrid w:val="0"/>
              <w:spacing w:line="560" w:lineRule="exact"/>
              <w:contextualSpacing/>
              <w:jc w:val="left"/>
              <w:rPr>
                <w:rFonts w:hint="default" w:ascii="宋体" w:hAnsi="宋体" w:eastAsia="宋体" w:cs="宋体"/>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sz w:val="24"/>
                <w:szCs w:val="24"/>
                <w:lang w:val="en-US" w:eastAsia="zh-CN"/>
              </w:rPr>
              <w:t>.采样与检测:负责水样采集、现场检测及实验室分析，确保符合国家水质标准。</w:t>
            </w:r>
          </w:p>
          <w:p w14:paraId="537157B4">
            <w:pPr>
              <w:snapToGrid w:val="0"/>
              <w:spacing w:line="560" w:lineRule="exact"/>
              <w:contextualSpacing/>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2.数据记录:准确记录检测数据，编制检测报告，确保结果真实有效</w:t>
            </w:r>
            <w:r>
              <w:rPr>
                <w:rFonts w:hint="eastAsia" w:ascii="宋体" w:hAnsi="宋体" w:eastAsia="宋体" w:cs="宋体"/>
                <w:sz w:val="24"/>
                <w:szCs w:val="24"/>
                <w:lang w:val="en-US" w:eastAsia="zh-CN"/>
              </w:rPr>
              <w:t>，并做好档案管理</w:t>
            </w:r>
            <w:r>
              <w:rPr>
                <w:rFonts w:hint="default" w:ascii="宋体" w:hAnsi="宋体" w:eastAsia="宋体" w:cs="宋体"/>
                <w:sz w:val="24"/>
                <w:szCs w:val="24"/>
                <w:lang w:val="en-US" w:eastAsia="zh-CN"/>
              </w:rPr>
              <w:t>。</w:t>
            </w:r>
          </w:p>
          <w:p w14:paraId="1D7FC953">
            <w:pPr>
              <w:snapToGrid w:val="0"/>
              <w:spacing w:line="560" w:lineRule="exact"/>
              <w:contextualSpacing/>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3.设备维护:管理检测仪器，定期校准保养，保证设备正常运行</w:t>
            </w:r>
            <w:r>
              <w:rPr>
                <w:rFonts w:hint="eastAsia" w:ascii="宋体" w:hAnsi="宋体" w:eastAsia="宋体" w:cs="宋体"/>
                <w:sz w:val="24"/>
                <w:szCs w:val="24"/>
                <w:lang w:val="en-US" w:eastAsia="zh-CN"/>
              </w:rPr>
              <w:t>，并</w:t>
            </w:r>
            <w:r>
              <w:rPr>
                <w:rFonts w:hint="default" w:ascii="宋体" w:hAnsi="宋体" w:eastAsia="宋体" w:cs="宋体"/>
                <w:sz w:val="24"/>
                <w:szCs w:val="24"/>
                <w:lang w:val="en-US" w:eastAsia="zh-CN"/>
              </w:rPr>
              <w:t>建立设备使用、保养台账。</w:t>
            </w:r>
          </w:p>
          <w:p w14:paraId="397A587C">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4.药品管理：</w:t>
            </w:r>
            <w:r>
              <w:rPr>
                <w:rFonts w:hint="default" w:ascii="宋体" w:hAnsi="宋体" w:eastAsia="宋体" w:cs="宋体"/>
                <w:sz w:val="24"/>
                <w:szCs w:val="24"/>
                <w:lang w:val="en-US" w:eastAsia="zh-CN"/>
              </w:rPr>
              <w:t>检验室所需的化学试剂或药品，按药品储备要求有效存放</w:t>
            </w:r>
            <w:r>
              <w:rPr>
                <w:rFonts w:hint="eastAsia" w:ascii="宋体" w:hAnsi="宋体" w:eastAsia="宋体" w:cs="宋体"/>
                <w:sz w:val="24"/>
                <w:szCs w:val="24"/>
                <w:lang w:val="en-US" w:eastAsia="zh-CN"/>
              </w:rPr>
              <w:t>，并建立药品领用台账。</w:t>
            </w:r>
          </w:p>
          <w:p w14:paraId="691AC437">
            <w:pPr>
              <w:snapToGrid w:val="0"/>
              <w:spacing w:line="560" w:lineRule="exact"/>
              <w:contextualSpacing/>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.合规管理:执行环保法规，监控水质变化，发现异常及时上报并提出</w:t>
            </w:r>
            <w:r>
              <w:rPr>
                <w:rFonts w:hint="eastAsia" w:ascii="宋体" w:hAnsi="宋体" w:eastAsia="宋体" w:cs="宋体"/>
                <w:sz w:val="24"/>
                <w:szCs w:val="24"/>
                <w:lang w:val="en-US" w:eastAsia="zh-CN"/>
              </w:rPr>
              <w:t>整改</w:t>
            </w:r>
            <w:r>
              <w:rPr>
                <w:rFonts w:hint="default" w:ascii="宋体" w:hAnsi="宋体" w:eastAsia="宋体" w:cs="宋体"/>
                <w:sz w:val="24"/>
                <w:szCs w:val="24"/>
                <w:lang w:val="en-US" w:eastAsia="zh-CN"/>
              </w:rPr>
              <w:t>建议。</w:t>
            </w:r>
          </w:p>
        </w:tc>
        <w:tc>
          <w:tcPr>
            <w:tcW w:w="1353" w:type="dxa"/>
            <w:vAlign w:val="center"/>
          </w:tcPr>
          <w:p w14:paraId="690140A8">
            <w:pPr>
              <w:snapToGrid w:val="0"/>
              <w:jc w:val="right"/>
              <w:rPr>
                <w:rFonts w:hint="eastAsia" w:ascii="宋体" w:eastAsia="宋体" w:hAnsiTheme="minorEastAsia" w:cstheme="minorEastAsia"/>
                <w:sz w:val="24"/>
                <w:szCs w:val="24"/>
                <w:vertAlign w:val="baseline"/>
              </w:rPr>
            </w:pPr>
          </w:p>
          <w:p w14:paraId="4806B4CA">
            <w:pPr>
              <w:snapToGrid w:val="0"/>
              <w:ind w:firstLine="218" w:firstLineChars="100"/>
              <w:jc w:val="both"/>
              <w:rPr>
                <w:rFonts w:hint="default" w:ascii="宋体" w:eastAsia="宋体" w:hAnsiTheme="minorEastAsia" w:cstheme="minorEastAsia"/>
                <w:sz w:val="24"/>
                <w:szCs w:val="24"/>
                <w:vertAlign w:val="baseline"/>
                <w:lang w:val="en-US" w:eastAsia="zh-CN"/>
              </w:rPr>
            </w:pPr>
            <w:r>
              <w:rPr>
                <w:rFonts w:hint="eastAsia" w:ascii="宋体" w:eastAsia="宋体" w:hAnsiTheme="minorEastAsia" w:cstheme="minorEastAsia"/>
                <w:sz w:val="24"/>
                <w:szCs w:val="24"/>
                <w:vertAlign w:val="baseline"/>
                <w:lang w:val="en-US" w:eastAsia="zh-CN"/>
              </w:rPr>
              <w:t>7-9万/年</w:t>
            </w:r>
          </w:p>
        </w:tc>
        <w:tc>
          <w:tcPr>
            <w:tcW w:w="4807" w:type="dxa"/>
            <w:vAlign w:val="center"/>
          </w:tcPr>
          <w:p w14:paraId="54576BA0">
            <w:pPr>
              <w:snapToGrid w:val="0"/>
              <w:spacing w:line="560" w:lineRule="exact"/>
              <w:contextualSpacing/>
              <w:jc w:val="left"/>
              <w:rPr>
                <w:rFonts w:hint="eastAsia" w:ascii="宋体" w:eastAsia="宋体" w:hAnsiTheme="minorEastAsia" w:cstheme="minorEastAsia"/>
                <w:color w:val="auto"/>
                <w:sz w:val="24"/>
                <w:szCs w:val="24"/>
                <w:lang w:val="en-US" w:eastAsia="zh-CN"/>
              </w:rPr>
            </w:pPr>
            <w:r>
              <w:rPr>
                <w:rFonts w:hint="eastAsia" w:ascii="宋体" w:hAnsi="宋体" w:eastAsia="宋体" w:cs="宋体"/>
                <w:sz w:val="24"/>
                <w:szCs w:val="24"/>
                <w:lang w:val="en-US" w:eastAsia="zh-CN"/>
              </w:rPr>
              <w:t>1.学历与专业要求：本科及以上学历，</w:t>
            </w:r>
            <w:r>
              <w:rPr>
                <w:rFonts w:hint="eastAsia" w:ascii="宋体" w:eastAsia="宋体" w:hAnsiTheme="minorEastAsia" w:cstheme="minorEastAsia"/>
                <w:color w:val="auto"/>
                <w:sz w:val="24"/>
                <w:szCs w:val="24"/>
                <w:lang w:val="en-US" w:eastAsia="zh-CN"/>
              </w:rPr>
              <w:t>化学、医学、环境工程</w:t>
            </w:r>
            <w:r>
              <w:rPr>
                <w:rFonts w:hint="eastAsia" w:ascii="宋体" w:hAnsi="宋体" w:eastAsia="宋体" w:cs="宋体"/>
                <w:sz w:val="24"/>
                <w:szCs w:val="24"/>
                <w:lang w:val="en-US" w:eastAsia="zh-CN"/>
              </w:rPr>
              <w:t>等相关</w:t>
            </w:r>
            <w:r>
              <w:rPr>
                <w:rFonts w:hint="eastAsia" w:ascii="宋体" w:eastAsia="宋体" w:hAnsiTheme="minorEastAsia" w:cstheme="minorEastAsia"/>
                <w:color w:val="auto"/>
                <w:sz w:val="24"/>
                <w:szCs w:val="24"/>
                <w:lang w:val="en-US" w:eastAsia="zh-CN"/>
              </w:rPr>
              <w:t>专业；</w:t>
            </w:r>
          </w:p>
          <w:p w14:paraId="7CAA4563">
            <w:pPr>
              <w:snapToGrid w:val="0"/>
              <w:spacing w:line="560" w:lineRule="exact"/>
              <w:contextualSpacing/>
              <w:jc w:val="left"/>
              <w:rPr>
                <w:rFonts w:hint="eastAsia" w:ascii="宋体" w:eastAsia="宋体" w:hAnsiTheme="minorEastAsia" w:cstheme="minorEastAsia"/>
                <w:color w:val="auto"/>
                <w:sz w:val="24"/>
                <w:szCs w:val="24"/>
                <w:lang w:val="en-US" w:eastAsia="zh-CN"/>
              </w:rPr>
            </w:pPr>
            <w:r>
              <w:rPr>
                <w:rFonts w:hint="eastAsia" w:ascii="宋体" w:eastAsia="宋体" w:hAnsiTheme="minorEastAsia" w:cstheme="minorEastAsia"/>
                <w:color w:val="auto"/>
                <w:sz w:val="24"/>
                <w:szCs w:val="24"/>
                <w:lang w:val="en-US" w:eastAsia="zh-CN"/>
              </w:rPr>
              <w:t>2.工作经验：5年及以上相关工作经验；</w:t>
            </w:r>
          </w:p>
          <w:p w14:paraId="7412AAAD">
            <w:pPr>
              <w:snapToGrid w:val="0"/>
              <w:spacing w:line="560" w:lineRule="exact"/>
              <w:contextualSpacing/>
              <w:jc w:val="left"/>
              <w:rPr>
                <w:rFonts w:hint="eastAsia" w:ascii="宋体" w:eastAsia="宋体" w:hAnsiTheme="minorEastAsia" w:cstheme="minorEastAsia"/>
                <w:color w:val="auto"/>
                <w:sz w:val="24"/>
                <w:szCs w:val="24"/>
                <w:lang w:val="en-US" w:eastAsia="zh-CN"/>
              </w:rPr>
            </w:pPr>
            <w:r>
              <w:rPr>
                <w:rFonts w:hint="eastAsia" w:ascii="宋体" w:eastAsia="宋体" w:hAnsiTheme="minorEastAsia" w:cstheme="minorEastAsia"/>
                <w:color w:val="auto"/>
                <w:sz w:val="24"/>
                <w:szCs w:val="24"/>
                <w:lang w:val="en-US" w:eastAsia="zh-CN"/>
              </w:rPr>
              <w:t>3.专业能力：熟练运用相关标准、规范和规定，熟练使用办公软件；</w:t>
            </w:r>
          </w:p>
          <w:p w14:paraId="30CDB271">
            <w:pPr>
              <w:snapToGrid w:val="0"/>
              <w:spacing w:line="560" w:lineRule="exact"/>
              <w:contextualSpacing/>
              <w:jc w:val="left"/>
              <w:rPr>
                <w:rFonts w:hint="eastAsia" w:ascii="宋体" w:eastAsia="宋体" w:hAnsiTheme="minorEastAsia" w:cstheme="minorEastAsia"/>
                <w:color w:val="auto"/>
                <w:sz w:val="24"/>
                <w:szCs w:val="24"/>
                <w:lang w:val="en-US" w:eastAsia="zh-CN"/>
              </w:rPr>
            </w:pPr>
            <w:r>
              <w:rPr>
                <w:rFonts w:hint="eastAsia" w:ascii="宋体" w:eastAsia="宋体" w:hAnsiTheme="minorEastAsia" w:cstheme="minorEastAsia"/>
                <w:color w:val="auto"/>
                <w:sz w:val="24"/>
                <w:szCs w:val="24"/>
                <w:lang w:val="en-US" w:eastAsia="zh-CN"/>
              </w:rPr>
              <w:t>4.职业资格：要求持有水质检测中级及以上职业资格证；</w:t>
            </w:r>
          </w:p>
          <w:p w14:paraId="202EE50B">
            <w:pPr>
              <w:snapToGrid w:val="0"/>
              <w:spacing w:line="560" w:lineRule="exact"/>
              <w:contextualSpacing/>
              <w:jc w:val="left"/>
              <w:rPr>
                <w:rFonts w:hint="eastAsia" w:ascii="宋体" w:eastAsia="宋体" w:hAnsiTheme="minorEastAsia" w:cstheme="minorEastAsia"/>
                <w:color w:val="auto"/>
                <w:sz w:val="24"/>
                <w:szCs w:val="24"/>
                <w:lang w:val="en-US" w:eastAsia="zh-CN"/>
              </w:rPr>
            </w:pPr>
            <w:r>
              <w:rPr>
                <w:rFonts w:hint="eastAsia" w:ascii="宋体" w:eastAsia="宋体" w:hAnsiTheme="minorEastAsia" w:cstheme="minorEastAsia"/>
                <w:color w:val="auto"/>
                <w:sz w:val="24"/>
                <w:szCs w:val="24"/>
                <w:lang w:val="en-US" w:eastAsia="zh-CN"/>
              </w:rPr>
              <w:t>5.年龄要求：年龄45岁及以下；</w:t>
            </w:r>
          </w:p>
          <w:p w14:paraId="6A402AD3">
            <w:pPr>
              <w:snapToGrid w:val="0"/>
              <w:spacing w:line="560" w:lineRule="exact"/>
              <w:contextualSpacing/>
              <w:jc w:val="left"/>
              <w:rPr>
                <w:rFonts w:hint="eastAsia" w:ascii="宋体" w:eastAsia="宋体" w:hAnsiTheme="minorEastAsia" w:cstheme="minorEastAsia"/>
                <w:sz w:val="24"/>
                <w:szCs w:val="24"/>
                <w:lang w:val="en-US" w:eastAsia="zh-CN"/>
              </w:rPr>
            </w:pPr>
            <w:r>
              <w:rPr>
                <w:rFonts w:hint="eastAsia" w:ascii="宋体" w:eastAsia="宋体" w:hAnsiTheme="minorEastAsia" w:cstheme="minorEastAsia"/>
                <w:color w:val="auto"/>
                <w:sz w:val="24"/>
                <w:szCs w:val="24"/>
                <w:lang w:val="en-US" w:eastAsia="zh-CN"/>
              </w:rPr>
              <w:t>6.其他要求：（1）稳定性：需承诺长期在招聘单位所在地发展；（2）有较强的责任心与执行力，能接受加班。</w:t>
            </w:r>
          </w:p>
          <w:p w14:paraId="6325E8C4">
            <w:pPr>
              <w:snapToGrid w:val="0"/>
              <w:spacing w:line="560" w:lineRule="exact"/>
              <w:contextualSpacing/>
              <w:jc w:val="left"/>
              <w:rPr>
                <w:rFonts w:hint="eastAsia" w:ascii="宋体" w:hAnsi="宋体" w:eastAsia="宋体" w:cs="宋体"/>
                <w:sz w:val="24"/>
                <w:szCs w:val="24"/>
                <w:lang w:val="en-US" w:eastAsia="zh-CN"/>
              </w:rPr>
            </w:pPr>
          </w:p>
        </w:tc>
      </w:tr>
      <w:tr w14:paraId="1ECE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728" w:type="dxa"/>
            <w:vAlign w:val="center"/>
          </w:tcPr>
          <w:p w14:paraId="60E21853">
            <w:pPr>
              <w:snapToGrid w:val="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合计</w:t>
            </w:r>
          </w:p>
        </w:tc>
        <w:tc>
          <w:tcPr>
            <w:tcW w:w="921" w:type="dxa"/>
            <w:vAlign w:val="center"/>
          </w:tcPr>
          <w:p w14:paraId="7F7CA5F6">
            <w:pPr>
              <w:snapToGrid w:val="0"/>
              <w:jc w:val="center"/>
              <w:rPr>
                <w:rFonts w:hint="eastAsia" w:ascii="宋体" w:hAnsi="宋体" w:eastAsia="宋体" w:cs="宋体"/>
                <w:b/>
                <w:sz w:val="24"/>
                <w:szCs w:val="24"/>
                <w:vertAlign w:val="baseline"/>
              </w:rPr>
            </w:pPr>
          </w:p>
        </w:tc>
        <w:tc>
          <w:tcPr>
            <w:tcW w:w="1443" w:type="dxa"/>
            <w:vAlign w:val="center"/>
          </w:tcPr>
          <w:p w14:paraId="768E4646">
            <w:pPr>
              <w:snapToGrid w:val="0"/>
              <w:jc w:val="center"/>
              <w:rPr>
                <w:rFonts w:hint="eastAsia" w:ascii="宋体" w:hAnsi="宋体" w:eastAsia="宋体" w:cs="宋体"/>
                <w:b/>
                <w:sz w:val="24"/>
                <w:szCs w:val="24"/>
                <w:vertAlign w:val="baseline"/>
              </w:rPr>
            </w:pPr>
          </w:p>
        </w:tc>
        <w:tc>
          <w:tcPr>
            <w:tcW w:w="668" w:type="dxa"/>
            <w:vAlign w:val="center"/>
          </w:tcPr>
          <w:p w14:paraId="0223E065">
            <w:pPr>
              <w:snapToGrid w:val="0"/>
              <w:spacing w:line="560" w:lineRule="exact"/>
              <w:ind w:firstLine="219" w:firstLineChars="100"/>
              <w:contextualSpacing/>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6</w:t>
            </w:r>
          </w:p>
        </w:tc>
        <w:tc>
          <w:tcPr>
            <w:tcW w:w="4254" w:type="dxa"/>
            <w:vAlign w:val="center"/>
          </w:tcPr>
          <w:p w14:paraId="4893690F">
            <w:pPr>
              <w:numPr>
                <w:ilvl w:val="0"/>
                <w:numId w:val="0"/>
              </w:numPr>
              <w:spacing w:line="560" w:lineRule="exact"/>
              <w:contextualSpacing/>
              <w:rPr>
                <w:rFonts w:hint="eastAsia" w:ascii="宋体" w:hAnsi="宋体" w:eastAsia="宋体" w:cs="宋体"/>
                <w:b w:val="0"/>
                <w:bCs w:val="0"/>
                <w:sz w:val="24"/>
                <w:szCs w:val="24"/>
                <w:lang w:val="en-US" w:eastAsia="zh-CN"/>
              </w:rPr>
            </w:pPr>
          </w:p>
        </w:tc>
        <w:tc>
          <w:tcPr>
            <w:tcW w:w="1353" w:type="dxa"/>
            <w:vAlign w:val="center"/>
          </w:tcPr>
          <w:p w14:paraId="58447E7C">
            <w:pPr>
              <w:numPr>
                <w:ilvl w:val="0"/>
                <w:numId w:val="0"/>
              </w:numPr>
              <w:spacing w:line="560" w:lineRule="exact"/>
              <w:contextualSpacing/>
              <w:rPr>
                <w:rFonts w:hint="eastAsia" w:ascii="宋体" w:hAnsi="宋体" w:eastAsia="宋体" w:cs="宋体"/>
                <w:b w:val="0"/>
                <w:bCs w:val="0"/>
                <w:sz w:val="24"/>
                <w:szCs w:val="24"/>
                <w:lang w:val="en-US" w:eastAsia="zh-CN"/>
              </w:rPr>
            </w:pPr>
          </w:p>
        </w:tc>
        <w:tc>
          <w:tcPr>
            <w:tcW w:w="4807" w:type="dxa"/>
            <w:vAlign w:val="center"/>
          </w:tcPr>
          <w:p w14:paraId="0786A513">
            <w:pPr>
              <w:numPr>
                <w:ilvl w:val="0"/>
                <w:numId w:val="0"/>
              </w:numPr>
              <w:spacing w:line="560" w:lineRule="exact"/>
              <w:contextualSpacing/>
              <w:rPr>
                <w:rFonts w:hint="eastAsia" w:ascii="宋体" w:hAnsi="宋体" w:eastAsia="宋体" w:cs="宋体"/>
                <w:b w:val="0"/>
                <w:bCs w:val="0"/>
                <w:sz w:val="24"/>
                <w:szCs w:val="24"/>
                <w:lang w:val="en-US" w:eastAsia="zh-CN"/>
              </w:rPr>
            </w:pPr>
          </w:p>
        </w:tc>
      </w:tr>
    </w:tbl>
    <w:p w14:paraId="642BBD99">
      <w:pPr>
        <w:keepNext w:val="0"/>
        <w:keepLines w:val="0"/>
        <w:pageBreakBefore w:val="0"/>
        <w:widowControl w:val="0"/>
        <w:kinsoku/>
        <w:wordWrap/>
        <w:overflowPunct/>
        <w:topLinePunct w:val="0"/>
        <w:autoSpaceDE/>
        <w:autoSpaceDN/>
        <w:bidi w:val="0"/>
        <w:adjustRightInd/>
        <w:snapToGrid/>
        <w:spacing w:line="579" w:lineRule="exact"/>
        <w:ind w:firstLine="590" w:firstLineChars="200"/>
        <w:textAlignment w:val="auto"/>
        <w:rPr>
          <w:rFonts w:hint="eastAsia" w:ascii="仿宋_GB2312" w:hAnsi="仿宋_GB2312" w:eastAsia="仿宋_GB2312" w:cs="仿宋_GB2312"/>
          <w:sz w:val="32"/>
          <w:szCs w:val="32"/>
        </w:rPr>
      </w:pPr>
    </w:p>
    <w:sectPr>
      <w:footerReference r:id="rId3" w:type="default"/>
      <w:pgSz w:w="16838" w:h="11906" w:orient="landscape"/>
      <w:pgMar w:top="1587" w:right="2098" w:bottom="1474" w:left="1984" w:header="851" w:footer="1417" w:gutter="0"/>
      <w:pgBorders>
        <w:top w:val="none" w:sz="0" w:space="0"/>
        <w:left w:val="none" w:sz="0" w:space="0"/>
        <w:bottom w:val="none" w:sz="0" w:space="0"/>
        <w:right w:val="none" w:sz="0" w:space="0"/>
      </w:pgBorders>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84CD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98B11">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798B11">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77CA5"/>
    <w:multiLevelType w:val="singleLevel"/>
    <w:tmpl w:val="94777CA5"/>
    <w:lvl w:ilvl="0" w:tentative="0">
      <w:start w:val="1"/>
      <w:numFmt w:val="decimal"/>
      <w:suff w:val="space"/>
      <w:lvlText w:val="%1."/>
      <w:lvlJc w:val="left"/>
    </w:lvl>
  </w:abstractNum>
  <w:abstractNum w:abstractNumId="1">
    <w:nsid w:val="E4466914"/>
    <w:multiLevelType w:val="singleLevel"/>
    <w:tmpl w:val="E4466914"/>
    <w:lvl w:ilvl="0" w:tentative="0">
      <w:start w:val="1"/>
      <w:numFmt w:val="decimal"/>
      <w:lvlText w:val="%1."/>
      <w:lvlJc w:val="left"/>
      <w:pPr>
        <w:tabs>
          <w:tab w:val="left" w:pos="312"/>
        </w:tabs>
      </w:pPr>
    </w:lvl>
  </w:abstractNum>
  <w:abstractNum w:abstractNumId="2">
    <w:nsid w:val="78C6144D"/>
    <w:multiLevelType w:val="singleLevel"/>
    <w:tmpl w:val="78C6144D"/>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4153"/>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YTI2NzExZDRjZWQ4MDU3MzFmMGVmNjY4YTU5ZDcifQ=="/>
  </w:docVars>
  <w:rsids>
    <w:rsidRoot w:val="6B110B35"/>
    <w:rsid w:val="009C337D"/>
    <w:rsid w:val="00BA4238"/>
    <w:rsid w:val="01A6428D"/>
    <w:rsid w:val="021F78F7"/>
    <w:rsid w:val="025B2DC4"/>
    <w:rsid w:val="04694FAB"/>
    <w:rsid w:val="04D7625E"/>
    <w:rsid w:val="059A45A4"/>
    <w:rsid w:val="068E5516"/>
    <w:rsid w:val="06A851BF"/>
    <w:rsid w:val="07A33243"/>
    <w:rsid w:val="07B54D24"/>
    <w:rsid w:val="07E74E60"/>
    <w:rsid w:val="08EA43A8"/>
    <w:rsid w:val="09BE4364"/>
    <w:rsid w:val="0AC91212"/>
    <w:rsid w:val="0ADD6A6C"/>
    <w:rsid w:val="0B52745A"/>
    <w:rsid w:val="0BE91440"/>
    <w:rsid w:val="0C4F55B0"/>
    <w:rsid w:val="0C965124"/>
    <w:rsid w:val="0CE75980"/>
    <w:rsid w:val="0D26294C"/>
    <w:rsid w:val="0D49488C"/>
    <w:rsid w:val="0E233E16"/>
    <w:rsid w:val="0E2D7D0A"/>
    <w:rsid w:val="0E3B0302"/>
    <w:rsid w:val="0E582D88"/>
    <w:rsid w:val="0E6C0832"/>
    <w:rsid w:val="0F130CAE"/>
    <w:rsid w:val="10C66FE1"/>
    <w:rsid w:val="11643A43"/>
    <w:rsid w:val="11B86D77"/>
    <w:rsid w:val="14994BCF"/>
    <w:rsid w:val="165A5414"/>
    <w:rsid w:val="16622584"/>
    <w:rsid w:val="16893F4C"/>
    <w:rsid w:val="16F130B9"/>
    <w:rsid w:val="17885FB1"/>
    <w:rsid w:val="18D94D16"/>
    <w:rsid w:val="191212B2"/>
    <w:rsid w:val="19461C80"/>
    <w:rsid w:val="195E521C"/>
    <w:rsid w:val="199450E1"/>
    <w:rsid w:val="19A71543"/>
    <w:rsid w:val="1A7C004F"/>
    <w:rsid w:val="1B617245"/>
    <w:rsid w:val="1C14797D"/>
    <w:rsid w:val="1D5F5A06"/>
    <w:rsid w:val="1EAF02C7"/>
    <w:rsid w:val="1F010B23"/>
    <w:rsid w:val="1F0827F2"/>
    <w:rsid w:val="1F884DA0"/>
    <w:rsid w:val="206C6470"/>
    <w:rsid w:val="209D2ACD"/>
    <w:rsid w:val="20A26336"/>
    <w:rsid w:val="20B65C39"/>
    <w:rsid w:val="20E95D13"/>
    <w:rsid w:val="21223BEC"/>
    <w:rsid w:val="212703C6"/>
    <w:rsid w:val="2133559C"/>
    <w:rsid w:val="21570ECE"/>
    <w:rsid w:val="21693A14"/>
    <w:rsid w:val="230E7CB2"/>
    <w:rsid w:val="2389558B"/>
    <w:rsid w:val="24083369"/>
    <w:rsid w:val="25F568CD"/>
    <w:rsid w:val="26971D6D"/>
    <w:rsid w:val="2733606B"/>
    <w:rsid w:val="27595274"/>
    <w:rsid w:val="283B0C3C"/>
    <w:rsid w:val="285B23AD"/>
    <w:rsid w:val="2A133E00"/>
    <w:rsid w:val="2B354871"/>
    <w:rsid w:val="2C532BDA"/>
    <w:rsid w:val="2C864D5D"/>
    <w:rsid w:val="2CCB2770"/>
    <w:rsid w:val="2E504317"/>
    <w:rsid w:val="2EC90F31"/>
    <w:rsid w:val="2F4961A4"/>
    <w:rsid w:val="3018203B"/>
    <w:rsid w:val="30AA5C0F"/>
    <w:rsid w:val="31AB2B70"/>
    <w:rsid w:val="32335040"/>
    <w:rsid w:val="33661445"/>
    <w:rsid w:val="33947E4E"/>
    <w:rsid w:val="33F16F60"/>
    <w:rsid w:val="3527787F"/>
    <w:rsid w:val="364D2AF3"/>
    <w:rsid w:val="368E32AC"/>
    <w:rsid w:val="36AC716F"/>
    <w:rsid w:val="36DB7A54"/>
    <w:rsid w:val="37735EDE"/>
    <w:rsid w:val="382A2A41"/>
    <w:rsid w:val="39276F80"/>
    <w:rsid w:val="399F120C"/>
    <w:rsid w:val="3AAC3BE1"/>
    <w:rsid w:val="3B006840"/>
    <w:rsid w:val="3B4C2CCE"/>
    <w:rsid w:val="3B5D312D"/>
    <w:rsid w:val="3C3575EE"/>
    <w:rsid w:val="3D436353"/>
    <w:rsid w:val="3EF72003"/>
    <w:rsid w:val="3F1B7587"/>
    <w:rsid w:val="3F6D6635"/>
    <w:rsid w:val="3F724CCD"/>
    <w:rsid w:val="3FFD640C"/>
    <w:rsid w:val="409018AF"/>
    <w:rsid w:val="41384420"/>
    <w:rsid w:val="41C116E8"/>
    <w:rsid w:val="41DB2FFE"/>
    <w:rsid w:val="434B50CA"/>
    <w:rsid w:val="441B1DD7"/>
    <w:rsid w:val="447119F7"/>
    <w:rsid w:val="45084A98"/>
    <w:rsid w:val="4520073C"/>
    <w:rsid w:val="459B6D2C"/>
    <w:rsid w:val="460F771A"/>
    <w:rsid w:val="4690085B"/>
    <w:rsid w:val="4734568A"/>
    <w:rsid w:val="47571378"/>
    <w:rsid w:val="47950C90"/>
    <w:rsid w:val="479545DA"/>
    <w:rsid w:val="48623B31"/>
    <w:rsid w:val="48B63E7D"/>
    <w:rsid w:val="492822E2"/>
    <w:rsid w:val="496374AD"/>
    <w:rsid w:val="4972249A"/>
    <w:rsid w:val="4A080708"/>
    <w:rsid w:val="4A19507C"/>
    <w:rsid w:val="4BE551A5"/>
    <w:rsid w:val="4C793B3F"/>
    <w:rsid w:val="4E2A3474"/>
    <w:rsid w:val="50213118"/>
    <w:rsid w:val="50BC224C"/>
    <w:rsid w:val="50C72914"/>
    <w:rsid w:val="518F25AD"/>
    <w:rsid w:val="52950FA7"/>
    <w:rsid w:val="53226CDE"/>
    <w:rsid w:val="54045938"/>
    <w:rsid w:val="54106B37"/>
    <w:rsid w:val="54444A33"/>
    <w:rsid w:val="55164621"/>
    <w:rsid w:val="552D4ACF"/>
    <w:rsid w:val="554A478C"/>
    <w:rsid w:val="587873A1"/>
    <w:rsid w:val="597A6DF9"/>
    <w:rsid w:val="59835FFD"/>
    <w:rsid w:val="59A54A7D"/>
    <w:rsid w:val="59A673BE"/>
    <w:rsid w:val="59E34FAC"/>
    <w:rsid w:val="5A8D7133"/>
    <w:rsid w:val="5B620E33"/>
    <w:rsid w:val="5B81656C"/>
    <w:rsid w:val="5C21257D"/>
    <w:rsid w:val="5C434BFF"/>
    <w:rsid w:val="5C9A5B38"/>
    <w:rsid w:val="5CC901CB"/>
    <w:rsid w:val="5CD34BA6"/>
    <w:rsid w:val="5CF6295C"/>
    <w:rsid w:val="5CFD1C22"/>
    <w:rsid w:val="5D557CB0"/>
    <w:rsid w:val="5F1115F5"/>
    <w:rsid w:val="5F6B30AD"/>
    <w:rsid w:val="5F893C41"/>
    <w:rsid w:val="5F926F9A"/>
    <w:rsid w:val="5FB06D0B"/>
    <w:rsid w:val="5FFB7A33"/>
    <w:rsid w:val="60A24FBB"/>
    <w:rsid w:val="60E35C86"/>
    <w:rsid w:val="60E750C3"/>
    <w:rsid w:val="62B27782"/>
    <w:rsid w:val="636B391A"/>
    <w:rsid w:val="65222B6E"/>
    <w:rsid w:val="66FC2F4B"/>
    <w:rsid w:val="670D6F06"/>
    <w:rsid w:val="67656D42"/>
    <w:rsid w:val="678E6299"/>
    <w:rsid w:val="67A45ABC"/>
    <w:rsid w:val="6817003C"/>
    <w:rsid w:val="68F14D31"/>
    <w:rsid w:val="693017E5"/>
    <w:rsid w:val="6A3F387A"/>
    <w:rsid w:val="6AE96D94"/>
    <w:rsid w:val="6B0850A9"/>
    <w:rsid w:val="6B110B35"/>
    <w:rsid w:val="6B160FD3"/>
    <w:rsid w:val="6B340F05"/>
    <w:rsid w:val="6B433C6D"/>
    <w:rsid w:val="6BFF51CB"/>
    <w:rsid w:val="6D2947D0"/>
    <w:rsid w:val="6DE4032A"/>
    <w:rsid w:val="6E40179C"/>
    <w:rsid w:val="6E7F6F58"/>
    <w:rsid w:val="6EFD0C5C"/>
    <w:rsid w:val="6FA81EC2"/>
    <w:rsid w:val="6FC254E0"/>
    <w:rsid w:val="71CE01AE"/>
    <w:rsid w:val="72404633"/>
    <w:rsid w:val="727641AD"/>
    <w:rsid w:val="73EA794C"/>
    <w:rsid w:val="747A6F05"/>
    <w:rsid w:val="75056C52"/>
    <w:rsid w:val="769D2054"/>
    <w:rsid w:val="77212C85"/>
    <w:rsid w:val="77D84C76"/>
    <w:rsid w:val="77DE0B76"/>
    <w:rsid w:val="77F9150C"/>
    <w:rsid w:val="7936053E"/>
    <w:rsid w:val="7951348B"/>
    <w:rsid w:val="79E87A8A"/>
    <w:rsid w:val="7A772BBC"/>
    <w:rsid w:val="7A7F1A71"/>
    <w:rsid w:val="7ACF04B1"/>
    <w:rsid w:val="7BC2430B"/>
    <w:rsid w:val="7C4F2043"/>
    <w:rsid w:val="7CE54755"/>
    <w:rsid w:val="7CF53C93"/>
    <w:rsid w:val="7D41361D"/>
    <w:rsid w:val="7E33329E"/>
    <w:rsid w:val="7EEC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pacing w:val="-6"/>
      <w:w w:val="96"/>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3404</Words>
  <Characters>3488</Characters>
  <Lines>0</Lines>
  <Paragraphs>0</Paragraphs>
  <TotalTime>24</TotalTime>
  <ScaleCrop>false</ScaleCrop>
  <LinksUpToDate>false</LinksUpToDate>
  <CharactersWithSpaces>3495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2024-08-13T03:06:00Z</dcterms:created>
  <dc:creator>@解焱</dc:creator>
  <cp:lastModifiedBy>奋斗小青年</cp:lastModifiedBy>
  <cp:lastPrinted>2026-02-28T02:02:00Z</cp:lastPrinted>
  <dcterms:modified xsi:type="dcterms:W3CDTF">2026-03-04T01:10:31Z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52AFC68881264202A5BE92E6ADEC33B0_13</vt:lpwstr>
  </property>
  <property fmtid="{D5CDD505-2E9C-101B-9397-08002B2CF9AE}" pid="4" name="KSOTemplateDocerSaveRecord">
    <vt:lpwstr>eyJoZGlkIjoiNDNjZDYyY2QzN2MyMTAxMDI1YTFkZTNhNjZiNGMyZGIiLCJ1c2VySWQiOiI0NDQ2MTU0NzYifQ==</vt:lpwstr>
  </property>
</Properties>
</file>