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7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临床医学、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口腔医学、中医学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中西医结合类专业</w:t>
      </w:r>
      <w:r>
        <w:rPr>
          <w:rFonts w:hint="default" w:ascii="仿宋_GB2312" w:hAnsi="仿宋_GB2312" w:eastAsia="仿宋_GB2312" w:cs="仿宋_GB2312"/>
          <w:sz w:val="32"/>
          <w:szCs w:val="40"/>
        </w:rPr>
        <w:t>博士</w:t>
      </w:r>
    </w:p>
    <w:p w14:paraId="421F6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</w:rPr>
        <w:t>该类博士分为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Ⅰ、Ⅱ、Ⅲ三类</w:t>
      </w:r>
      <w:r>
        <w:rPr>
          <w:rFonts w:hint="default" w:ascii="仿宋_GB2312" w:hAnsi="仿宋_GB2312" w:eastAsia="仿宋_GB2312" w:cs="仿宋_GB2312"/>
          <w:sz w:val="32"/>
          <w:szCs w:val="40"/>
        </w:rPr>
        <w:t>，年龄原则上不超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过35周</w:t>
      </w:r>
      <w:r>
        <w:rPr>
          <w:rFonts w:hint="default" w:ascii="仿宋_GB2312" w:hAnsi="仿宋_GB2312" w:eastAsia="仿宋_GB2312" w:cs="仿宋_GB2312"/>
          <w:sz w:val="32"/>
          <w:szCs w:val="40"/>
        </w:rPr>
        <w:t>岁；对特别优秀、具备突出学术潜力的，年龄可适当放宽至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sz w:val="32"/>
          <w:szCs w:val="40"/>
        </w:rPr>
        <w:t>周岁；对特殊专业、医院紧缺专业博士，实行“一人一议”，经医院学术委员会研究确定相关标准。</w:t>
      </w:r>
    </w:p>
    <w:p w14:paraId="32FFE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Ⅰ类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博士</w:t>
      </w:r>
    </w:p>
    <w:p w14:paraId="05421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</w:rPr>
      </w:pPr>
      <w:r>
        <w:rPr>
          <w:rFonts w:hint="default" w:ascii="仿宋_GB2312" w:hAnsi="仿宋_GB2312" w:eastAsia="仿宋_GB2312" w:cs="仿宋_GB2312"/>
          <w:sz w:val="32"/>
          <w:szCs w:val="40"/>
        </w:rPr>
        <w:t>具备学术带头人潜质，符合以下条件之一，或经医院综合评价达到同等学术水平：</w:t>
      </w:r>
    </w:p>
    <w:p w14:paraId="23B51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①主持国家自然科学基金项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目≥1项；</w:t>
      </w:r>
    </w:p>
    <w:p w14:paraId="230B3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②发表二区及以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上SCI论著类论文≥4篇，其中一区SCI论著类论文≥2篇；</w:t>
      </w:r>
    </w:p>
    <w:p w14:paraId="3505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③以前二作者（若为并列第一作者，以前两作者为准）在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《Nature》《Science》《Cell》《New England Journal of Medicine》《Lancet》《JAMA》《BMJ》国际顶尖期刊发表学术论文≥1篇，且需由院士就其学术能力、发展潜力及综合表现出具书面推荐意见。</w:t>
      </w:r>
    </w:p>
    <w:p w14:paraId="1814B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Ⅱ类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博士</w:t>
      </w:r>
    </w:p>
    <w:p w14:paraId="1F36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40"/>
        </w:rPr>
      </w:pPr>
      <w:r>
        <w:rPr>
          <w:rFonts w:hint="default" w:ascii="仿宋_GB2312" w:hAnsi="仿宋_GB2312" w:eastAsia="仿宋_GB2312" w:cs="仿宋_GB2312"/>
          <w:sz w:val="32"/>
          <w:szCs w:val="40"/>
        </w:rPr>
        <w:t>符</w:t>
      </w:r>
      <w:r>
        <w:rPr>
          <w:rFonts w:hint="default" w:ascii="仿宋_GB2312" w:hAnsi="仿宋_GB2312" w:eastAsia="仿宋_GB2312" w:cs="仿宋_GB2312"/>
          <w:spacing w:val="-6"/>
          <w:sz w:val="32"/>
          <w:szCs w:val="40"/>
        </w:rPr>
        <w:t>合以下条件之一，或经医院综合评价达到同等学术水平：</w:t>
      </w:r>
    </w:p>
    <w:p w14:paraId="07C95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①主持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省部级自然科学类项目≥1项，且发表二区及以上SCI论著类论文≥1篇；</w:t>
      </w:r>
    </w:p>
    <w:p w14:paraId="2AE1D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②发表二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区及以上SCI论著类论文≥3篇，其中一区SCI论著类论文≥1篇。</w:t>
      </w:r>
    </w:p>
    <w:p w14:paraId="3032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Ⅲ类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博士</w:t>
      </w:r>
    </w:p>
    <w:p w14:paraId="42AB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</w:rPr>
        <w:t>发表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sz w:val="32"/>
          <w:szCs w:val="40"/>
        </w:rPr>
        <w:t>区及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以上SCI论著类论文≥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，或发表四区及以上SCI论著类论文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且发表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中华系列中文核心期刊论著类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论文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08C6D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2.其他医学类及工科类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博士</w:t>
      </w:r>
    </w:p>
    <w:p w14:paraId="42E6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该类博士分为Ⅰ、Ⅱ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类，年龄原则上不超过35周岁。</w:t>
      </w:r>
    </w:p>
    <w:p w14:paraId="73C73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Ⅰ类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博士</w:t>
      </w:r>
    </w:p>
    <w:p w14:paraId="33E7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</w:rPr>
      </w:pPr>
      <w:r>
        <w:rPr>
          <w:rFonts w:hint="default" w:ascii="仿宋_GB2312" w:hAnsi="仿宋_GB2312" w:eastAsia="仿宋_GB2312" w:cs="仿宋_GB2312"/>
          <w:sz w:val="32"/>
          <w:szCs w:val="40"/>
        </w:rPr>
        <w:t>具备学术带头人潜质，符合以下条件之一，或经医院综合评价达到同等学术水平：</w:t>
      </w:r>
    </w:p>
    <w:p w14:paraId="4CFD2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①主持国家自然科学基金项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目≥1项；</w:t>
      </w:r>
    </w:p>
    <w:p w14:paraId="153B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②发表二区及以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上SCI论著类论文≥5篇，其中一区SCI论著类论文≥3篇；</w:t>
      </w:r>
    </w:p>
    <w:p w14:paraId="2E4D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③以前二作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者（若为并列第一作者，以前两作者为准）在《Nature》《Science》《Cell》《New England Journal of Medicine》《Lancet》《JAMA》《BMJ》国际顶尖期刊发表学术论文≥1篇，且需由院士就其学术能力、发展潜力及综合表现出具书面推荐意见。</w:t>
      </w:r>
    </w:p>
    <w:p w14:paraId="0DC04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Ⅱ类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博士</w:t>
      </w:r>
    </w:p>
    <w:p w14:paraId="5489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符</w:t>
      </w:r>
      <w:r>
        <w:rPr>
          <w:rFonts w:hint="default" w:ascii="Times New Roman" w:hAnsi="Times New Roman" w:eastAsia="仿宋_GB2312" w:cs="Times New Roman"/>
          <w:spacing w:val="-6"/>
          <w:sz w:val="32"/>
          <w:szCs w:val="40"/>
          <w:lang w:val="en-US" w:eastAsia="zh-CN"/>
        </w:rPr>
        <w:t>合以下条件之一，或经医院综合评价达到同等学术水平：</w:t>
      </w:r>
    </w:p>
    <w:p w14:paraId="65785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①主持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省部级自然科学类项目≥1项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，且发表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SCI论著类论文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≥2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；</w:t>
      </w:r>
    </w:p>
    <w:p w14:paraId="630E4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②发表二区及以上SCI论著类论文≥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，其中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一区SCI论著类论文≥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66E5B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3.人文社科类博士</w:t>
      </w:r>
    </w:p>
    <w:p w14:paraId="664EF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该类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博士分为Ⅰ、Ⅱ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类，年龄原则上不超过35周岁。</w:t>
      </w:r>
    </w:p>
    <w:p w14:paraId="6A2E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Ⅰ类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博士</w:t>
      </w:r>
    </w:p>
    <w:p w14:paraId="73E42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</w:rPr>
      </w:pPr>
      <w:r>
        <w:rPr>
          <w:rFonts w:hint="default" w:ascii="仿宋_GB2312" w:hAnsi="仿宋_GB2312" w:eastAsia="仿宋_GB2312" w:cs="仿宋_GB2312"/>
          <w:sz w:val="32"/>
          <w:szCs w:val="40"/>
        </w:rPr>
        <w:t>具备学术带头人潜质，符合以下条件之一，或经医院综合评价达到同等学术水平：</w:t>
      </w:r>
    </w:p>
    <w:p w14:paraId="31C5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①主持国家社会科学基金项目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≥1项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，且发表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SSCI或CSSCI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论文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≥2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；</w:t>
      </w:r>
    </w:p>
    <w:p w14:paraId="0162B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②发表SSCI或CSSCI论文≥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，其中2篇为河南省教育厅认定的权威期刊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（含被《新华文摘》《中国社会科学文摘》《高等学校人文社科类学术文摘》或《人大复印报刊资料》全文转载的论文）。</w:t>
      </w:r>
    </w:p>
    <w:p w14:paraId="0D1A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Ⅱ类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博士</w:t>
      </w:r>
    </w:p>
    <w:p w14:paraId="20E10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符</w:t>
      </w:r>
      <w:r>
        <w:rPr>
          <w:rFonts w:hint="default" w:ascii="Times New Roman" w:hAnsi="Times New Roman" w:eastAsia="仿宋_GB2312" w:cs="Times New Roman"/>
          <w:spacing w:val="-6"/>
          <w:sz w:val="32"/>
          <w:szCs w:val="40"/>
          <w:lang w:val="en-US" w:eastAsia="zh-CN"/>
        </w:rPr>
        <w:t>合以下条件之一，或经医院综合评价达到同等学术水平：</w:t>
      </w:r>
    </w:p>
    <w:p w14:paraId="648DE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①主持省部级社会科学类项目≥1项，且发表SSCI或CSSCI论文≥1篇；</w:t>
      </w:r>
    </w:p>
    <w:p w14:paraId="49A6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②发表SSCI或CSSCI论文≥3篇，其中1篇为河南省教育厅认定的权威期刊（含被《新华文摘》《中国社会科学文摘》《高等学校人文社科类学术文摘》或《人大复印报刊资料》全文转载的论文）。</w:t>
      </w:r>
    </w:p>
    <w:p w14:paraId="0FDE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所有业绩均为近五年内取得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；医学类及工科类博士获批的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基金项目不含社科类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项目；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SCI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、SSCI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论文分区以中科院大类分区为准；无特殊说明，本人须为论文第一作者，共同第一作者须排名第一；每一项科研产出仅认定一次科研业绩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23822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以上博士若为国内博士研究生毕业，需取得学历、学位双证，具备一定学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术发展潜力；若为海外博士，原则上需毕业于QS世界排名或软科排名前400名的高校。应届毕业博士须在应聘当年12月31日前取得学历、学位证书；留学回国博士须在应聘当年12月31日前提供教育部留学服务中心出具的《国外学历学位认证书》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1C33C5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B5B3B"/>
    <w:rsid w:val="07212C54"/>
    <w:rsid w:val="43907675"/>
    <w:rsid w:val="4641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2024-04-22T06:56:00Z</dcterms:created>
  <dc:creator>Administrator</dc:creator>
  <cp:lastModifiedBy>惠风和畅</cp:lastModifiedBy>
  <dcterms:modified xsi:type="dcterms:W3CDTF">2026-03-16T03:23:24Z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8B09E40B1B2A4AF6A3A438622359EA7F_12</vt:lpwstr>
  </property>
  <property fmtid="{D5CDD505-2E9C-101B-9397-08002B2CF9AE}" pid="4" name="KSOTemplateDocerSaveRecord">
    <vt:lpwstr>eyJoZGlkIjoiYjA5NDNkZWFiNWZmZTcwMDdlODZiMThhZmU5M2MzZmUiLCJ1c2VySWQiOiI0MjQzNzUzMTEifQ==</vt:lpwstr>
  </property>
</Properties>
</file>