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0056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  <w:t>1</w:t>
      </w:r>
    </w:p>
    <w:p w14:paraId="3BD35CE9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2026年曲靖市青年人才专项第二轮“双一流”建设高校名单</w:t>
      </w:r>
    </w:p>
    <w:p w14:paraId="00A728F5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目录一（36 所）：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0F8FA72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目录二（111 所）：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大学、郑州大学、湖南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大学。</w:t>
      </w:r>
    </w:p>
    <w:p w14:paraId="7E5C69D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056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D1892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D1892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E4481"/>
    <w:rsid w:val="201A2C15"/>
    <w:rsid w:val="29A77E1B"/>
    <w:rsid w:val="42DD232B"/>
    <w:rsid w:val="652E6257"/>
    <w:rsid w:val="67584625"/>
    <w:rsid w:val="72580CBA"/>
    <w:rsid w:val="7CBE44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2</Pages>
  <Words>1021</Words>
  <Characters>1027</Characters>
  <Lines>0</Lines>
  <Paragraphs>0</Paragraphs>
  <TotalTime>0</TotalTime>
  <ScaleCrop>false</ScaleCrop>
  <LinksUpToDate>false</LinksUpToDate>
  <CharactersWithSpaces>1029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2024-02-06T03:25:00Z</dcterms:created>
  <dc:creator>⊙</dc:creator>
  <cp:lastModifiedBy>赵佳颖</cp:lastModifiedBy>
  <dcterms:modified xsi:type="dcterms:W3CDTF">2026-04-28T03:03:31Z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eyJoZGlkIjoiMTc4ODUyOTBiZDI0NTIwOTdlYzhkMzU2MzVmMGE4YmQiLCJ1c2VySWQiOiIxNjE5MDg4MDUxIn0=</vt:lpwstr>
  </property>
  <property fmtid="{D5CDD505-2E9C-101B-9397-08002B2CF9AE}" pid="4" name="ICV">
    <vt:lpwstr>1E2B8F74F8B44D439DA1A84D06475EA7_12</vt:lpwstr>
  </property>
</Properties>
</file>