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28"/>
          <w:szCs w:val="28"/>
          <w:u w:val="none"/>
          <w:lang w:val="en-US" w:eastAsia="zh-CN" w:bidi="ar"/>
        </w:rPr>
      </w:pPr>
      <w:bookmarkStart w:id="0" w:name="_Toc6286_WPSOffice_Level1"/>
      <w:r>
        <w:rPr>
          <w:rFonts w:hint="eastAsia" w:ascii="宋体" w:hAnsi="宋体" w:eastAsia="宋体" w:cs="宋体"/>
          <w:i w:val="0"/>
          <w:iCs w:val="0"/>
          <w:color w:val="000000"/>
          <w:kern w:val="0"/>
          <w:sz w:val="28"/>
          <w:szCs w:val="28"/>
          <w:u w:val="none"/>
          <w:lang w:val="en-US" w:eastAsia="zh-CN" w:bidi="ar"/>
        </w:rPr>
        <w:t>附件2：</w:t>
      </w:r>
      <w:bookmarkStart w:id="84" w:name="_GoBack"/>
      <w:bookmarkEnd w:id="84"/>
    </w:p>
    <w:bookmarkEnd w:id="0"/>
    <w:p>
      <w:pPr>
        <w:adjustRightInd w:val="0"/>
        <w:snapToGrid w:val="0"/>
        <w:spacing w:line="640" w:lineRule="exact"/>
        <w:jc w:val="center"/>
        <w:rPr>
          <w:rFonts w:hint="eastAsia" w:ascii="方正小标宋简体" w:hAnsi="方正小标宋简体" w:eastAsia="方正小标宋简体" w:cs="方正小标宋简体"/>
          <w:b w:val="0"/>
          <w:bCs/>
          <w:w w:val="85"/>
          <w:kern w:val="0"/>
          <w:sz w:val="44"/>
          <w:szCs w:val="44"/>
          <w:highlight w:val="none"/>
        </w:rPr>
      </w:pPr>
      <w:r>
        <w:rPr>
          <w:rFonts w:hint="eastAsia" w:ascii="方正小标宋简体" w:hAnsi="方正小标宋简体" w:eastAsia="方正小标宋简体" w:cs="方正小标宋简体"/>
          <w:b w:val="0"/>
          <w:bCs/>
          <w:w w:val="85"/>
          <w:kern w:val="0"/>
          <w:sz w:val="44"/>
          <w:szCs w:val="44"/>
          <w:highlight w:val="none"/>
        </w:rPr>
        <w:t>厦门市人力资源和社会保障局所属</w:t>
      </w:r>
    </w:p>
    <w:p>
      <w:pPr>
        <w:adjustRightInd w:val="0"/>
        <w:snapToGrid w:val="0"/>
        <w:spacing w:line="640" w:lineRule="exact"/>
        <w:jc w:val="center"/>
        <w:rPr>
          <w:rFonts w:hint="eastAsia" w:ascii="方正小标宋简体" w:hAnsi="方正小标宋简体" w:eastAsia="方正小标宋简体" w:cs="方正小标宋简体"/>
          <w:b w:val="0"/>
          <w:bCs/>
          <w:w w:val="85"/>
          <w:kern w:val="0"/>
          <w:sz w:val="44"/>
          <w:szCs w:val="44"/>
          <w:highlight w:val="none"/>
        </w:rPr>
      </w:pPr>
      <w:r>
        <w:rPr>
          <w:rFonts w:hint="eastAsia" w:ascii="方正小标宋简体" w:hAnsi="方正小标宋简体" w:eastAsia="方正小标宋简体" w:cs="方正小标宋简体"/>
          <w:b w:val="0"/>
          <w:bCs/>
          <w:w w:val="85"/>
          <w:kern w:val="0"/>
          <w:sz w:val="44"/>
          <w:szCs w:val="44"/>
          <w:highlight w:val="none"/>
        </w:rPr>
        <w:t>厦门技师学院</w:t>
      </w:r>
      <w:r>
        <w:rPr>
          <w:rFonts w:hint="eastAsia" w:ascii="方正小标宋简体" w:hAnsi="方正小标宋简体" w:eastAsia="方正小标宋简体" w:cs="方正小标宋简体"/>
          <w:b w:val="0"/>
          <w:bCs/>
          <w:w w:val="85"/>
          <w:kern w:val="0"/>
          <w:sz w:val="44"/>
          <w:szCs w:val="44"/>
          <w:highlight w:val="none"/>
          <w:lang w:val="en-US" w:eastAsia="zh-CN"/>
        </w:rPr>
        <w:t>公开</w:t>
      </w:r>
      <w:r>
        <w:rPr>
          <w:rFonts w:hint="eastAsia" w:ascii="方正小标宋简体" w:hAnsi="方正小标宋简体" w:eastAsia="方正小标宋简体" w:cs="方正小标宋简体"/>
          <w:b w:val="0"/>
          <w:bCs/>
          <w:w w:val="85"/>
          <w:kern w:val="0"/>
          <w:sz w:val="44"/>
          <w:szCs w:val="44"/>
          <w:highlight w:val="none"/>
        </w:rPr>
        <w:t>招聘事业单位</w:t>
      </w:r>
      <w:r>
        <w:rPr>
          <w:rFonts w:hint="eastAsia" w:ascii="方正小标宋简体" w:hAnsi="方正小标宋简体" w:eastAsia="方正小标宋简体" w:cs="方正小标宋简体"/>
          <w:b w:val="0"/>
          <w:bCs/>
          <w:w w:val="85"/>
          <w:kern w:val="0"/>
          <w:sz w:val="44"/>
          <w:szCs w:val="44"/>
          <w:highlight w:val="none"/>
          <w:lang w:val="en-US" w:eastAsia="zh-CN"/>
        </w:rPr>
        <w:t>人员</w:t>
      </w:r>
      <w:r>
        <w:rPr>
          <w:rFonts w:hint="eastAsia" w:ascii="方正小标宋简体" w:hAnsi="方正小标宋简体" w:eastAsia="方正小标宋简体" w:cs="方正小标宋简体"/>
          <w:b w:val="0"/>
          <w:bCs/>
          <w:w w:val="85"/>
          <w:kern w:val="0"/>
          <w:sz w:val="44"/>
          <w:szCs w:val="44"/>
          <w:highlight w:val="none"/>
        </w:rPr>
        <w:t>报考须知</w:t>
      </w:r>
    </w:p>
    <w:p>
      <w:pPr>
        <w:adjustRightInd w:val="0"/>
        <w:snapToGrid w:val="0"/>
        <w:spacing w:line="640" w:lineRule="exact"/>
        <w:jc w:val="center"/>
        <w:rPr>
          <w:rFonts w:hint="eastAsia" w:ascii="方正小标宋简体" w:hAnsi="方正小标宋简体" w:eastAsia="方正小标宋简体" w:cs="方正小标宋简体"/>
          <w:b w:val="0"/>
          <w:bCs/>
          <w:w w:val="85"/>
          <w:kern w:val="0"/>
          <w:sz w:val="44"/>
          <w:szCs w:val="44"/>
          <w:highlight w:val="none"/>
        </w:rPr>
      </w:pPr>
      <w:r>
        <w:rPr>
          <w:rFonts w:hint="eastAsia" w:ascii="方正小标宋简体" w:hAnsi="方正小标宋简体" w:eastAsia="方正小标宋简体" w:cs="方正小标宋简体"/>
          <w:b w:val="0"/>
          <w:bCs/>
          <w:w w:val="85"/>
          <w:kern w:val="0"/>
          <w:sz w:val="44"/>
          <w:szCs w:val="44"/>
          <w:highlight w:val="none"/>
        </w:rPr>
        <w:t>（202</w:t>
      </w:r>
      <w:r>
        <w:rPr>
          <w:rFonts w:hint="eastAsia" w:ascii="方正小标宋简体" w:hAnsi="方正小标宋简体" w:eastAsia="方正小标宋简体" w:cs="方正小标宋简体"/>
          <w:b w:val="0"/>
          <w:bCs/>
          <w:w w:val="85"/>
          <w:kern w:val="0"/>
          <w:sz w:val="44"/>
          <w:szCs w:val="44"/>
          <w:highlight w:val="none"/>
          <w:lang w:val="en-US" w:eastAsia="zh-CN"/>
        </w:rPr>
        <w:t>6</w:t>
      </w:r>
      <w:r>
        <w:rPr>
          <w:rFonts w:hint="eastAsia" w:ascii="方正小标宋简体" w:hAnsi="方正小标宋简体" w:eastAsia="方正小标宋简体" w:cs="方正小标宋简体"/>
          <w:b w:val="0"/>
          <w:bCs/>
          <w:w w:val="85"/>
          <w:kern w:val="0"/>
          <w:sz w:val="44"/>
          <w:szCs w:val="44"/>
          <w:highlight w:val="none"/>
        </w:rPr>
        <w:t>年</w:t>
      </w:r>
      <w:r>
        <w:rPr>
          <w:rFonts w:hint="eastAsia" w:ascii="方正小标宋简体" w:hAnsi="方正小标宋简体" w:eastAsia="方正小标宋简体" w:cs="方正小标宋简体"/>
          <w:b w:val="0"/>
          <w:bCs/>
          <w:w w:val="85"/>
          <w:kern w:val="0"/>
          <w:sz w:val="44"/>
          <w:szCs w:val="44"/>
          <w:highlight w:val="none"/>
          <w:lang w:val="en-US" w:eastAsia="zh-CN"/>
        </w:rPr>
        <w:t>6月</w:t>
      </w:r>
      <w:r>
        <w:rPr>
          <w:rFonts w:hint="eastAsia" w:ascii="方正小标宋简体" w:hAnsi="方正小标宋简体" w:eastAsia="方正小标宋简体" w:cs="方正小标宋简体"/>
          <w:b w:val="0"/>
          <w:bCs/>
          <w:w w:val="85"/>
          <w:kern w:val="0"/>
          <w:sz w:val="44"/>
          <w:szCs w:val="44"/>
          <w:highlight w:val="none"/>
        </w:rPr>
        <w:t>）目录</w:t>
      </w:r>
    </w:p>
    <w:sdt>
      <w:sdtPr>
        <w:rPr>
          <w:rFonts w:ascii="宋体" w:hAnsi="宋体" w:eastAsia="宋体"/>
          <w:highlight w:val="none"/>
        </w:rPr>
        <w:id w:val="147477155"/>
        <w:docPartObj>
          <w:docPartGallery w:val="Table of Contents"/>
          <w:docPartUnique/>
        </w:docPartObj>
      </w:sdtPr>
      <w:sdtEndPr>
        <w:rPr>
          <w:rFonts w:ascii="宋体" w:hAnsi="宋体" w:eastAsia="宋体"/>
          <w:highlight w:val="none"/>
        </w:rPr>
      </w:sdtEndPr>
      <w:sdtContent>
        <w:p>
          <w:pPr>
            <w:spacing w:line="420" w:lineRule="exact"/>
            <w:jc w:val="center"/>
            <w:rPr>
              <w:highlight w:val="none"/>
            </w:rPr>
          </w:pPr>
        </w:p>
        <w:p>
          <w:pPr>
            <w:pStyle w:val="7"/>
            <w:tabs>
              <w:tab w:val="right" w:leader="dot" w:pos="8306"/>
            </w:tabs>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_Toc32492 </w:instrText>
          </w:r>
          <w:r>
            <w:rPr>
              <w:highlight w:val="none"/>
            </w:rPr>
            <w:fldChar w:fldCharType="separate"/>
          </w:r>
          <w:r>
            <w:rPr>
              <w:rFonts w:hint="eastAsia" w:ascii="黑体" w:hAnsi="黑体" w:eastAsia="黑体" w:cs="黑体"/>
              <w:bCs/>
              <w:kern w:val="2"/>
              <w:szCs w:val="32"/>
              <w:lang w:val="en-US" w:eastAsia="zh-CN" w:bidi="ar-SA"/>
            </w:rPr>
            <w:t>一、</w:t>
          </w:r>
          <w:r>
            <w:rPr>
              <w:rFonts w:hint="eastAsia" w:ascii="黑体" w:hAnsi="黑体" w:eastAsia="黑体"/>
              <w:bCs/>
              <w:szCs w:val="32"/>
              <w:highlight w:val="none"/>
            </w:rPr>
            <w:t>基本条件</w:t>
          </w:r>
          <w:r>
            <w:tab/>
          </w:r>
          <w:r>
            <w:fldChar w:fldCharType="begin"/>
          </w:r>
          <w:r>
            <w:instrText xml:space="preserve"> PAGEREF _Toc32492 \h </w:instrText>
          </w:r>
          <w:r>
            <w:fldChar w:fldCharType="separate"/>
          </w:r>
          <w:r>
            <w:t>1</w:t>
          </w:r>
          <w:r>
            <w:fldChar w:fldCharType="end"/>
          </w:r>
          <w:r>
            <w:rPr>
              <w:highlight w:val="none"/>
            </w:rPr>
            <w:fldChar w:fldCharType="end"/>
          </w:r>
        </w:p>
        <w:p>
          <w:pPr>
            <w:pStyle w:val="7"/>
            <w:tabs>
              <w:tab w:val="right" w:leader="dot" w:pos="8306"/>
            </w:tabs>
          </w:pPr>
          <w:r>
            <w:rPr>
              <w:highlight w:val="none"/>
            </w:rPr>
            <w:fldChar w:fldCharType="begin"/>
          </w:r>
          <w:r>
            <w:rPr>
              <w:highlight w:val="none"/>
            </w:rPr>
            <w:instrText xml:space="preserve"> HYPERLINK \l _Toc9780 </w:instrText>
          </w:r>
          <w:r>
            <w:rPr>
              <w:highlight w:val="none"/>
            </w:rPr>
            <w:fldChar w:fldCharType="separate"/>
          </w:r>
          <w:r>
            <w:rPr>
              <w:rFonts w:hint="eastAsia" w:ascii="黑体" w:hAnsi="黑体" w:eastAsia="黑体" w:cs="黑体"/>
              <w:bCs/>
              <w:kern w:val="2"/>
              <w:szCs w:val="32"/>
              <w:lang w:val="en-US" w:eastAsia="zh-CN" w:bidi="ar-SA"/>
            </w:rPr>
            <w:t>二、</w:t>
          </w:r>
          <w:r>
            <w:rPr>
              <w:rFonts w:hint="eastAsia" w:ascii="黑体" w:hAnsi="黑体" w:eastAsia="黑体"/>
              <w:bCs/>
              <w:szCs w:val="32"/>
              <w:highlight w:val="none"/>
            </w:rPr>
            <w:t>不得报考或取消报考（聘用）资格的情形</w:t>
          </w:r>
          <w:r>
            <w:tab/>
          </w:r>
          <w:r>
            <w:fldChar w:fldCharType="begin"/>
          </w:r>
          <w:r>
            <w:instrText xml:space="preserve"> PAGEREF _Toc9780 \h </w:instrText>
          </w:r>
          <w:r>
            <w:fldChar w:fldCharType="separate"/>
          </w:r>
          <w:r>
            <w:t>1</w:t>
          </w:r>
          <w:r>
            <w:fldChar w:fldCharType="end"/>
          </w:r>
          <w:r>
            <w:rPr>
              <w:highlight w:val="none"/>
            </w:rPr>
            <w:fldChar w:fldCharType="end"/>
          </w:r>
        </w:p>
        <w:p>
          <w:pPr>
            <w:pStyle w:val="7"/>
            <w:tabs>
              <w:tab w:val="right" w:leader="dot" w:pos="8306"/>
            </w:tabs>
          </w:pPr>
          <w:r>
            <w:rPr>
              <w:highlight w:val="none"/>
            </w:rPr>
            <w:fldChar w:fldCharType="begin"/>
          </w:r>
          <w:r>
            <w:rPr>
              <w:highlight w:val="none"/>
            </w:rPr>
            <w:instrText xml:space="preserve"> HYPERLINK \l _Toc18382 </w:instrText>
          </w:r>
          <w:r>
            <w:rPr>
              <w:highlight w:val="none"/>
            </w:rPr>
            <w:fldChar w:fldCharType="separate"/>
          </w:r>
          <w:r>
            <w:rPr>
              <w:rFonts w:hint="eastAsia" w:ascii="黑体" w:hAnsi="黑体" w:eastAsia="黑体" w:cs="黑体"/>
              <w:bCs/>
              <w:kern w:val="2"/>
              <w:szCs w:val="32"/>
              <w:lang w:val="en-US" w:eastAsia="zh-CN" w:bidi="ar-SA"/>
            </w:rPr>
            <w:t>三、</w:t>
          </w:r>
          <w:r>
            <w:rPr>
              <w:rFonts w:hint="eastAsia" w:ascii="黑体" w:hAnsi="黑体" w:eastAsia="黑体"/>
              <w:bCs/>
              <w:szCs w:val="32"/>
              <w:highlight w:val="none"/>
            </w:rPr>
            <w:t>选报岗位</w:t>
          </w:r>
          <w:r>
            <w:tab/>
          </w:r>
          <w:r>
            <w:fldChar w:fldCharType="begin"/>
          </w:r>
          <w:r>
            <w:instrText xml:space="preserve"> PAGEREF _Toc18382 \h </w:instrText>
          </w:r>
          <w:r>
            <w:fldChar w:fldCharType="separate"/>
          </w:r>
          <w:r>
            <w:t>2</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_Toc13724 </w:instrText>
          </w:r>
          <w:r>
            <w:rPr>
              <w:highlight w:val="none"/>
            </w:rPr>
            <w:fldChar w:fldCharType="separate"/>
          </w:r>
          <w:r>
            <w:rPr>
              <w:rFonts w:hint="eastAsia" w:ascii="楷体" w:hAnsi="楷体" w:eastAsia="楷体"/>
              <w:szCs w:val="32"/>
              <w:highlight w:val="none"/>
            </w:rPr>
            <w:t>（一）报考条件确认</w:t>
          </w:r>
          <w:r>
            <w:tab/>
          </w:r>
          <w:r>
            <w:fldChar w:fldCharType="begin"/>
          </w:r>
          <w:r>
            <w:instrText xml:space="preserve"> PAGEREF _Toc13724 \h </w:instrText>
          </w:r>
          <w:r>
            <w:fldChar w:fldCharType="separate"/>
          </w:r>
          <w:r>
            <w:t>2</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_Toc27024 </w:instrText>
          </w:r>
          <w:r>
            <w:rPr>
              <w:highlight w:val="none"/>
            </w:rPr>
            <w:fldChar w:fldCharType="separate"/>
          </w:r>
          <w:r>
            <w:rPr>
              <w:rFonts w:hint="eastAsia" w:ascii="楷体" w:hAnsi="楷体" w:eastAsia="楷体"/>
              <w:szCs w:val="32"/>
              <w:highlight w:val="none"/>
            </w:rPr>
            <w:t>（二）照片要求</w:t>
          </w:r>
          <w:r>
            <w:tab/>
          </w:r>
          <w:r>
            <w:fldChar w:fldCharType="begin"/>
          </w:r>
          <w:r>
            <w:instrText xml:space="preserve"> PAGEREF _Toc27024 \h </w:instrText>
          </w:r>
          <w:r>
            <w:fldChar w:fldCharType="separate"/>
          </w:r>
          <w:r>
            <w:t>2</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_Toc13835 </w:instrText>
          </w:r>
          <w:r>
            <w:rPr>
              <w:highlight w:val="none"/>
            </w:rPr>
            <w:fldChar w:fldCharType="separate"/>
          </w:r>
          <w:r>
            <w:rPr>
              <w:rFonts w:hint="eastAsia" w:ascii="楷体" w:hAnsi="楷体" w:eastAsia="楷体" w:cs="楷体"/>
              <w:bCs/>
              <w:szCs w:val="32"/>
            </w:rPr>
            <w:t xml:space="preserve">（三） </w:t>
          </w:r>
          <w:r>
            <w:rPr>
              <w:rFonts w:hint="eastAsia" w:ascii="楷体" w:hAnsi="楷体" w:eastAsia="楷体"/>
              <w:szCs w:val="32"/>
              <w:highlight w:val="none"/>
            </w:rPr>
            <w:t>个人简历</w:t>
          </w:r>
          <w:r>
            <w:tab/>
          </w:r>
          <w:r>
            <w:fldChar w:fldCharType="begin"/>
          </w:r>
          <w:r>
            <w:instrText xml:space="preserve"> PAGEREF _Toc13835 \h </w:instrText>
          </w:r>
          <w:r>
            <w:fldChar w:fldCharType="separate"/>
          </w:r>
          <w:r>
            <w:t>3</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_Toc13892 </w:instrText>
          </w:r>
          <w:r>
            <w:rPr>
              <w:highlight w:val="none"/>
            </w:rPr>
            <w:fldChar w:fldCharType="separate"/>
          </w:r>
          <w:r>
            <w:rPr>
              <w:rFonts w:hint="eastAsia" w:ascii="楷体" w:hAnsi="楷体" w:eastAsia="楷体"/>
              <w:szCs w:val="32"/>
              <w:highlight w:val="none"/>
            </w:rPr>
            <w:t>（</w:t>
          </w:r>
          <w:r>
            <w:rPr>
              <w:rFonts w:hint="eastAsia" w:ascii="楷体" w:hAnsi="楷体" w:eastAsia="楷体"/>
              <w:szCs w:val="32"/>
              <w:highlight w:val="none"/>
              <w:lang w:val="en-US" w:eastAsia="zh-CN"/>
            </w:rPr>
            <w:t>四</w:t>
          </w:r>
          <w:r>
            <w:rPr>
              <w:rFonts w:hint="eastAsia" w:ascii="楷体" w:hAnsi="楷体" w:eastAsia="楷体"/>
              <w:szCs w:val="32"/>
              <w:highlight w:val="none"/>
            </w:rPr>
            <w:t>）回避情形</w:t>
          </w:r>
          <w:r>
            <w:tab/>
          </w:r>
          <w:r>
            <w:fldChar w:fldCharType="begin"/>
          </w:r>
          <w:r>
            <w:instrText xml:space="preserve"> PAGEREF _Toc13892 \h </w:instrText>
          </w:r>
          <w:r>
            <w:fldChar w:fldCharType="separate"/>
          </w:r>
          <w:r>
            <w:t>3</w:t>
          </w:r>
          <w:r>
            <w:fldChar w:fldCharType="end"/>
          </w:r>
          <w:r>
            <w:rPr>
              <w:highlight w:val="none"/>
            </w:rPr>
            <w:fldChar w:fldCharType="end"/>
          </w:r>
        </w:p>
        <w:p>
          <w:pPr>
            <w:pStyle w:val="7"/>
            <w:tabs>
              <w:tab w:val="right" w:leader="dot" w:pos="8306"/>
            </w:tabs>
          </w:pPr>
          <w:r>
            <w:rPr>
              <w:highlight w:val="none"/>
            </w:rPr>
            <w:fldChar w:fldCharType="begin"/>
          </w:r>
          <w:r>
            <w:rPr>
              <w:highlight w:val="none"/>
            </w:rPr>
            <w:instrText xml:space="preserve"> HYPERLINK \l _Toc26768 </w:instrText>
          </w:r>
          <w:r>
            <w:rPr>
              <w:highlight w:val="none"/>
            </w:rPr>
            <w:fldChar w:fldCharType="separate"/>
          </w:r>
          <w:r>
            <w:rPr>
              <w:rFonts w:hint="eastAsia" w:ascii="黑体" w:hAnsi="黑体" w:eastAsia="黑体" w:cs="黑体"/>
              <w:bCs/>
              <w:strike w:val="0"/>
              <w:dstrike w:val="0"/>
              <w:kern w:val="2"/>
              <w:szCs w:val="32"/>
              <w:lang w:val="en-US" w:eastAsia="zh-CN" w:bidi="ar-SA"/>
            </w:rPr>
            <w:t>四、</w:t>
          </w:r>
          <w:r>
            <w:rPr>
              <w:rFonts w:hint="eastAsia" w:ascii="黑体" w:hAnsi="黑体" w:eastAsia="黑体"/>
              <w:bCs/>
              <w:szCs w:val="32"/>
              <w:highlight w:val="none"/>
            </w:rPr>
            <w:t>年龄、资格（历）等的计算办法</w:t>
          </w:r>
          <w:r>
            <w:tab/>
          </w:r>
          <w:r>
            <w:fldChar w:fldCharType="begin"/>
          </w:r>
          <w:r>
            <w:instrText xml:space="preserve"> PAGEREF _Toc26768 \h </w:instrText>
          </w:r>
          <w:r>
            <w:fldChar w:fldCharType="separate"/>
          </w:r>
          <w:r>
            <w:t>4</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_Toc19700 </w:instrText>
          </w:r>
          <w:r>
            <w:rPr>
              <w:highlight w:val="none"/>
            </w:rPr>
            <w:fldChar w:fldCharType="separate"/>
          </w:r>
          <w:r>
            <w:rPr>
              <w:rFonts w:hint="eastAsia" w:ascii="楷体" w:hAnsi="楷体" w:eastAsia="楷体" w:cs="楷体"/>
              <w:bCs/>
              <w:kern w:val="2"/>
              <w:szCs w:val="32"/>
              <w:lang w:val="en-US" w:eastAsia="zh-CN" w:bidi="ar-SA"/>
            </w:rPr>
            <w:t>（一）</w:t>
          </w:r>
          <w:r>
            <w:rPr>
              <w:rFonts w:hint="eastAsia" w:ascii="楷体" w:hAnsi="楷体" w:eastAsia="楷体" w:cs="楷体"/>
              <w:bCs/>
              <w:szCs w:val="32"/>
              <w:highlight w:val="none"/>
            </w:rPr>
            <w:t>年龄</w:t>
          </w:r>
          <w:r>
            <w:tab/>
          </w:r>
          <w:r>
            <w:fldChar w:fldCharType="begin"/>
          </w:r>
          <w:r>
            <w:instrText xml:space="preserve"> PAGEREF _Toc19700 \h </w:instrText>
          </w:r>
          <w:r>
            <w:fldChar w:fldCharType="separate"/>
          </w:r>
          <w:r>
            <w:t>4</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_Toc12634 </w:instrText>
          </w:r>
          <w:r>
            <w:rPr>
              <w:highlight w:val="none"/>
            </w:rPr>
            <w:fldChar w:fldCharType="separate"/>
          </w:r>
          <w:r>
            <w:rPr>
              <w:rFonts w:hint="eastAsia" w:ascii="楷体" w:hAnsi="楷体" w:eastAsia="楷体" w:cs="楷体"/>
              <w:bCs/>
              <w:kern w:val="2"/>
              <w:szCs w:val="32"/>
              <w:lang w:val="en-US" w:eastAsia="zh-CN" w:bidi="ar-SA"/>
            </w:rPr>
            <w:t>（二）</w:t>
          </w:r>
          <w:r>
            <w:rPr>
              <w:rFonts w:hint="eastAsia" w:ascii="楷体" w:hAnsi="楷体" w:eastAsia="楷体" w:cs="楷体"/>
              <w:bCs/>
              <w:szCs w:val="32"/>
              <w:highlight w:val="none"/>
            </w:rPr>
            <w:t>资格（历）等</w:t>
          </w:r>
          <w:r>
            <w:tab/>
          </w:r>
          <w:r>
            <w:fldChar w:fldCharType="begin"/>
          </w:r>
          <w:r>
            <w:instrText xml:space="preserve"> PAGEREF _Toc12634 \h </w:instrText>
          </w:r>
          <w:r>
            <w:fldChar w:fldCharType="separate"/>
          </w:r>
          <w:r>
            <w:t>5</w:t>
          </w:r>
          <w:r>
            <w:fldChar w:fldCharType="end"/>
          </w:r>
          <w:r>
            <w:rPr>
              <w:highlight w:val="none"/>
            </w:rPr>
            <w:fldChar w:fldCharType="end"/>
          </w:r>
        </w:p>
        <w:p>
          <w:pPr>
            <w:pStyle w:val="7"/>
            <w:tabs>
              <w:tab w:val="right" w:leader="dot" w:pos="8306"/>
            </w:tabs>
          </w:pPr>
          <w:r>
            <w:rPr>
              <w:highlight w:val="none"/>
            </w:rPr>
            <w:fldChar w:fldCharType="begin"/>
          </w:r>
          <w:r>
            <w:rPr>
              <w:highlight w:val="none"/>
            </w:rPr>
            <w:instrText xml:space="preserve"> HYPERLINK \l _Toc1316 </w:instrText>
          </w:r>
          <w:r>
            <w:rPr>
              <w:highlight w:val="none"/>
            </w:rPr>
            <w:fldChar w:fldCharType="separate"/>
          </w:r>
          <w:r>
            <w:rPr>
              <w:rFonts w:hint="eastAsia" w:ascii="黑体" w:hAnsi="黑体" w:eastAsia="黑体" w:cs="黑体"/>
              <w:bCs/>
              <w:strike w:val="0"/>
              <w:dstrike w:val="0"/>
              <w:kern w:val="2"/>
              <w:szCs w:val="32"/>
              <w:lang w:val="en-US" w:eastAsia="zh-CN" w:bidi="ar-SA"/>
            </w:rPr>
            <w:t>五、</w:t>
          </w:r>
          <w:r>
            <w:rPr>
              <w:rFonts w:hint="eastAsia" w:ascii="黑体" w:hAnsi="黑体" w:eastAsia="黑体"/>
              <w:bCs/>
              <w:szCs w:val="32"/>
              <w:highlight w:val="none"/>
            </w:rPr>
            <w:t>学历（位）认定</w:t>
          </w:r>
          <w:r>
            <w:tab/>
          </w:r>
          <w:r>
            <w:fldChar w:fldCharType="begin"/>
          </w:r>
          <w:r>
            <w:instrText xml:space="preserve"> PAGEREF _Toc1316 \h </w:instrText>
          </w:r>
          <w:r>
            <w:fldChar w:fldCharType="separate"/>
          </w:r>
          <w:r>
            <w:t>5</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_Toc9669 </w:instrText>
          </w:r>
          <w:r>
            <w:rPr>
              <w:highlight w:val="none"/>
            </w:rPr>
            <w:fldChar w:fldCharType="separate"/>
          </w:r>
          <w:r>
            <w:rPr>
              <w:rFonts w:hint="eastAsia" w:ascii="楷体" w:hAnsi="楷体" w:eastAsia="楷体"/>
              <w:szCs w:val="32"/>
              <w:highlight w:val="none"/>
            </w:rPr>
            <w:t>（一）境内学历（位）</w:t>
          </w:r>
          <w:r>
            <w:tab/>
          </w:r>
          <w:r>
            <w:fldChar w:fldCharType="begin"/>
          </w:r>
          <w:r>
            <w:instrText xml:space="preserve"> PAGEREF _Toc9669 \h </w:instrText>
          </w:r>
          <w:r>
            <w:fldChar w:fldCharType="separate"/>
          </w:r>
          <w:r>
            <w:t>5</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_Toc21269 </w:instrText>
          </w:r>
          <w:r>
            <w:rPr>
              <w:highlight w:val="none"/>
            </w:rPr>
            <w:fldChar w:fldCharType="separate"/>
          </w:r>
          <w:r>
            <w:rPr>
              <w:rFonts w:hint="eastAsia" w:ascii="楷体" w:hAnsi="楷体" w:eastAsia="楷体"/>
              <w:szCs w:val="32"/>
              <w:highlight w:val="none"/>
            </w:rPr>
            <w:t>（二）第二学士学位</w:t>
          </w:r>
          <w:r>
            <w:tab/>
          </w:r>
          <w:r>
            <w:fldChar w:fldCharType="begin"/>
          </w:r>
          <w:r>
            <w:instrText xml:space="preserve"> PAGEREF _Toc21269 \h </w:instrText>
          </w:r>
          <w:r>
            <w:fldChar w:fldCharType="separate"/>
          </w:r>
          <w:r>
            <w:t>5</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_Toc13309 </w:instrText>
          </w:r>
          <w:r>
            <w:rPr>
              <w:highlight w:val="none"/>
            </w:rPr>
            <w:fldChar w:fldCharType="separate"/>
          </w:r>
          <w:r>
            <w:rPr>
              <w:rFonts w:hint="eastAsia" w:ascii="楷体" w:hAnsi="楷体" w:eastAsia="楷体"/>
              <w:szCs w:val="32"/>
              <w:highlight w:val="none"/>
            </w:rPr>
            <w:t>（三）境外学历（位）</w:t>
          </w:r>
          <w:r>
            <w:tab/>
          </w:r>
          <w:r>
            <w:fldChar w:fldCharType="begin"/>
          </w:r>
          <w:r>
            <w:instrText xml:space="preserve"> PAGEREF _Toc13309 \h </w:instrText>
          </w:r>
          <w:r>
            <w:fldChar w:fldCharType="separate"/>
          </w:r>
          <w:r>
            <w:t>6</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_Toc21357 </w:instrText>
          </w:r>
          <w:r>
            <w:rPr>
              <w:highlight w:val="none"/>
            </w:rPr>
            <w:fldChar w:fldCharType="separate"/>
          </w:r>
          <w:r>
            <w:rPr>
              <w:rFonts w:hint="eastAsia" w:ascii="楷体" w:hAnsi="楷体" w:eastAsia="楷体"/>
              <w:szCs w:val="32"/>
              <w:highlight w:val="none"/>
            </w:rPr>
            <w:t>（四）我省“双学位”“双专业”学历</w:t>
          </w:r>
          <w:r>
            <w:tab/>
          </w:r>
          <w:r>
            <w:fldChar w:fldCharType="begin"/>
          </w:r>
          <w:r>
            <w:instrText xml:space="preserve"> PAGEREF _Toc21357 \h </w:instrText>
          </w:r>
          <w:r>
            <w:fldChar w:fldCharType="separate"/>
          </w:r>
          <w:r>
            <w:t>6</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_Toc30865 </w:instrText>
          </w:r>
          <w:r>
            <w:rPr>
              <w:highlight w:val="none"/>
            </w:rPr>
            <w:fldChar w:fldCharType="separate"/>
          </w:r>
          <w:r>
            <w:rPr>
              <w:rFonts w:hint="eastAsia" w:ascii="楷体" w:hAnsi="楷体" w:eastAsia="楷体"/>
              <w:szCs w:val="32"/>
              <w:highlight w:val="none"/>
            </w:rPr>
            <w:t>（五）提醒事项</w:t>
          </w:r>
          <w:r>
            <w:tab/>
          </w:r>
          <w:r>
            <w:fldChar w:fldCharType="begin"/>
          </w:r>
          <w:r>
            <w:instrText xml:space="preserve"> PAGEREF _Toc30865 \h </w:instrText>
          </w:r>
          <w:r>
            <w:fldChar w:fldCharType="separate"/>
          </w:r>
          <w:r>
            <w:t>6</w:t>
          </w:r>
          <w:r>
            <w:fldChar w:fldCharType="end"/>
          </w:r>
          <w:r>
            <w:rPr>
              <w:highlight w:val="none"/>
            </w:rPr>
            <w:fldChar w:fldCharType="end"/>
          </w:r>
        </w:p>
        <w:p>
          <w:pPr>
            <w:pStyle w:val="7"/>
            <w:tabs>
              <w:tab w:val="right" w:leader="dot" w:pos="8306"/>
            </w:tabs>
          </w:pPr>
          <w:r>
            <w:rPr>
              <w:highlight w:val="none"/>
            </w:rPr>
            <w:fldChar w:fldCharType="begin"/>
          </w:r>
          <w:r>
            <w:rPr>
              <w:highlight w:val="none"/>
            </w:rPr>
            <w:instrText xml:space="preserve"> HYPERLINK \l _Toc24830 </w:instrText>
          </w:r>
          <w:r>
            <w:rPr>
              <w:highlight w:val="none"/>
            </w:rPr>
            <w:fldChar w:fldCharType="separate"/>
          </w:r>
          <w:r>
            <w:rPr>
              <w:rFonts w:hint="eastAsia" w:ascii="黑体" w:hAnsi="黑体" w:eastAsia="黑体" w:cs="黑体"/>
              <w:bCs/>
              <w:strike w:val="0"/>
              <w:dstrike w:val="0"/>
              <w:kern w:val="2"/>
              <w:szCs w:val="32"/>
              <w:lang w:val="en-US" w:eastAsia="zh-CN" w:bidi="ar-SA"/>
            </w:rPr>
            <w:t>六、</w:t>
          </w:r>
          <w:r>
            <w:rPr>
              <w:rFonts w:hint="eastAsia" w:ascii="黑体" w:hAnsi="黑体" w:eastAsia="黑体"/>
              <w:bCs/>
              <w:szCs w:val="32"/>
              <w:highlight w:val="none"/>
            </w:rPr>
            <w:t>专业</w:t>
          </w:r>
          <w:r>
            <w:tab/>
          </w:r>
          <w:r>
            <w:fldChar w:fldCharType="begin"/>
          </w:r>
          <w:r>
            <w:instrText xml:space="preserve"> PAGEREF _Toc24830 \h </w:instrText>
          </w:r>
          <w:r>
            <w:fldChar w:fldCharType="separate"/>
          </w:r>
          <w:r>
            <w:t>6</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_Toc14751 </w:instrText>
          </w:r>
          <w:r>
            <w:rPr>
              <w:highlight w:val="none"/>
            </w:rPr>
            <w:fldChar w:fldCharType="separate"/>
          </w:r>
          <w:r>
            <w:rPr>
              <w:rFonts w:hint="eastAsia" w:ascii="楷体" w:hAnsi="楷体" w:eastAsia="楷体"/>
              <w:szCs w:val="32"/>
              <w:highlight w:val="none"/>
            </w:rPr>
            <w:t>（一）填报专业名称</w:t>
          </w:r>
          <w:r>
            <w:tab/>
          </w:r>
          <w:r>
            <w:fldChar w:fldCharType="begin"/>
          </w:r>
          <w:r>
            <w:instrText xml:space="preserve"> PAGEREF _Toc14751 \h </w:instrText>
          </w:r>
          <w:r>
            <w:fldChar w:fldCharType="separate"/>
          </w:r>
          <w:r>
            <w:t>7</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_Toc28079 </w:instrText>
          </w:r>
          <w:r>
            <w:rPr>
              <w:highlight w:val="none"/>
            </w:rPr>
            <w:fldChar w:fldCharType="separate"/>
          </w:r>
          <w:r>
            <w:rPr>
              <w:rFonts w:hint="eastAsia" w:ascii="楷体" w:hAnsi="楷体" w:eastAsia="楷体"/>
              <w:szCs w:val="32"/>
              <w:highlight w:val="none"/>
            </w:rPr>
            <w:t>（二）专业与学历（位）的对应关系</w:t>
          </w:r>
          <w:r>
            <w:tab/>
          </w:r>
          <w:r>
            <w:fldChar w:fldCharType="begin"/>
          </w:r>
          <w:r>
            <w:instrText xml:space="preserve"> PAGEREF _Toc28079 \h </w:instrText>
          </w:r>
          <w:r>
            <w:fldChar w:fldCharType="separate"/>
          </w:r>
          <w:r>
            <w:t>7</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_Toc31891 </w:instrText>
          </w:r>
          <w:r>
            <w:rPr>
              <w:highlight w:val="none"/>
            </w:rPr>
            <w:fldChar w:fldCharType="separate"/>
          </w:r>
          <w:r>
            <w:rPr>
              <w:rFonts w:hint="eastAsia" w:ascii="楷体" w:hAnsi="楷体" w:eastAsia="楷体"/>
              <w:szCs w:val="32"/>
              <w:highlight w:val="none"/>
            </w:rPr>
            <w:t>（三）专业资格的认定</w:t>
          </w:r>
          <w:r>
            <w:tab/>
          </w:r>
          <w:r>
            <w:fldChar w:fldCharType="begin"/>
          </w:r>
          <w:r>
            <w:instrText xml:space="preserve"> PAGEREF _Toc31891 \h </w:instrText>
          </w:r>
          <w:r>
            <w:fldChar w:fldCharType="separate"/>
          </w:r>
          <w:r>
            <w:t>8</w:t>
          </w:r>
          <w:r>
            <w:fldChar w:fldCharType="end"/>
          </w:r>
          <w:r>
            <w:rPr>
              <w:highlight w:val="none"/>
            </w:rPr>
            <w:fldChar w:fldCharType="end"/>
          </w:r>
        </w:p>
        <w:p>
          <w:pPr>
            <w:pStyle w:val="7"/>
            <w:tabs>
              <w:tab w:val="right" w:leader="dot" w:pos="8306"/>
            </w:tabs>
          </w:pPr>
          <w:r>
            <w:rPr>
              <w:highlight w:val="none"/>
            </w:rPr>
            <w:fldChar w:fldCharType="begin"/>
          </w:r>
          <w:r>
            <w:rPr>
              <w:highlight w:val="none"/>
            </w:rPr>
            <w:instrText xml:space="preserve"> HYPERLINK \l _Toc24544 </w:instrText>
          </w:r>
          <w:r>
            <w:rPr>
              <w:highlight w:val="none"/>
            </w:rPr>
            <w:fldChar w:fldCharType="separate"/>
          </w:r>
          <w:r>
            <w:rPr>
              <w:rFonts w:hint="eastAsia" w:ascii="黑体" w:hAnsi="黑体" w:eastAsia="黑体" w:cs="黑体"/>
              <w:bCs/>
              <w:strike w:val="0"/>
              <w:dstrike w:val="0"/>
              <w:kern w:val="2"/>
              <w:szCs w:val="32"/>
              <w:lang w:val="en-US" w:eastAsia="zh-CN" w:bidi="ar-SA"/>
            </w:rPr>
            <w:t>七、</w:t>
          </w:r>
          <w:r>
            <w:rPr>
              <w:rFonts w:hint="eastAsia" w:ascii="黑体" w:hAnsi="黑体" w:eastAsia="黑体"/>
              <w:bCs/>
              <w:szCs w:val="32"/>
              <w:highlight w:val="none"/>
            </w:rPr>
            <w:t>工作经历（验）</w:t>
          </w:r>
          <w:r>
            <w:tab/>
          </w:r>
          <w:r>
            <w:fldChar w:fldCharType="begin"/>
          </w:r>
          <w:r>
            <w:instrText xml:space="preserve"> PAGEREF _Toc24544 \h </w:instrText>
          </w:r>
          <w:r>
            <w:fldChar w:fldCharType="separate"/>
          </w:r>
          <w:r>
            <w:t>9</w:t>
          </w:r>
          <w:r>
            <w:fldChar w:fldCharType="end"/>
          </w:r>
          <w:r>
            <w:rPr>
              <w:highlight w:val="none"/>
            </w:rPr>
            <w:fldChar w:fldCharType="end"/>
          </w:r>
        </w:p>
        <w:p>
          <w:pPr>
            <w:pStyle w:val="7"/>
            <w:tabs>
              <w:tab w:val="right" w:leader="dot" w:pos="8306"/>
            </w:tabs>
          </w:pPr>
          <w:r>
            <w:rPr>
              <w:highlight w:val="none"/>
            </w:rPr>
            <w:fldChar w:fldCharType="begin"/>
          </w:r>
          <w:r>
            <w:rPr>
              <w:highlight w:val="none"/>
            </w:rPr>
            <w:instrText xml:space="preserve"> HYPERLINK \l _Toc4734 </w:instrText>
          </w:r>
          <w:r>
            <w:rPr>
              <w:highlight w:val="none"/>
            </w:rPr>
            <w:fldChar w:fldCharType="separate"/>
          </w:r>
          <w:r>
            <w:rPr>
              <w:rFonts w:hint="eastAsia" w:ascii="黑体" w:hAnsi="黑体" w:eastAsia="黑体" w:cs="黑体"/>
              <w:bCs/>
              <w:strike w:val="0"/>
              <w:dstrike w:val="0"/>
              <w:kern w:val="2"/>
              <w:szCs w:val="32"/>
              <w:lang w:val="en-US" w:eastAsia="zh-CN" w:bidi="ar-SA"/>
            </w:rPr>
            <w:t>八、</w:t>
          </w:r>
          <w:r>
            <w:rPr>
              <w:rFonts w:hint="eastAsia" w:ascii="黑体" w:hAnsi="黑体" w:eastAsia="黑体"/>
              <w:bCs/>
              <w:szCs w:val="32"/>
              <w:highlight w:val="none"/>
            </w:rPr>
            <w:t>岗位开考比例</w:t>
          </w:r>
          <w:r>
            <w:tab/>
          </w:r>
          <w:r>
            <w:fldChar w:fldCharType="begin"/>
          </w:r>
          <w:r>
            <w:instrText xml:space="preserve"> PAGEREF _Toc4734 \h </w:instrText>
          </w:r>
          <w:r>
            <w:fldChar w:fldCharType="separate"/>
          </w:r>
          <w:r>
            <w:t>9</w:t>
          </w:r>
          <w:r>
            <w:fldChar w:fldCharType="end"/>
          </w:r>
          <w:r>
            <w:rPr>
              <w:highlight w:val="none"/>
            </w:rPr>
            <w:fldChar w:fldCharType="end"/>
          </w:r>
        </w:p>
        <w:p>
          <w:pPr>
            <w:pStyle w:val="7"/>
            <w:tabs>
              <w:tab w:val="right" w:leader="dot" w:pos="8306"/>
            </w:tabs>
          </w:pPr>
          <w:r>
            <w:rPr>
              <w:highlight w:val="none"/>
            </w:rPr>
            <w:fldChar w:fldCharType="begin"/>
          </w:r>
          <w:r>
            <w:rPr>
              <w:highlight w:val="none"/>
            </w:rPr>
            <w:instrText xml:space="preserve"> HYPERLINK \l _Toc32704 </w:instrText>
          </w:r>
          <w:r>
            <w:rPr>
              <w:highlight w:val="none"/>
            </w:rPr>
            <w:fldChar w:fldCharType="separate"/>
          </w:r>
          <w:r>
            <w:rPr>
              <w:rFonts w:hint="eastAsia" w:ascii="黑体" w:hAnsi="黑体" w:eastAsia="黑体" w:cs="黑体"/>
              <w:bCs/>
              <w:strike w:val="0"/>
              <w:dstrike w:val="0"/>
              <w:kern w:val="2"/>
              <w:szCs w:val="32"/>
              <w:lang w:val="en-US" w:eastAsia="zh-CN" w:bidi="ar-SA"/>
            </w:rPr>
            <w:t>九、</w:t>
          </w:r>
          <w:r>
            <w:rPr>
              <w:rFonts w:hint="eastAsia" w:ascii="黑体" w:hAnsi="黑体" w:eastAsia="黑体"/>
              <w:bCs/>
              <w:szCs w:val="32"/>
              <w:highlight w:val="none"/>
            </w:rPr>
            <w:t>笔试加分</w:t>
          </w:r>
          <w:r>
            <w:tab/>
          </w:r>
          <w:r>
            <w:fldChar w:fldCharType="begin"/>
          </w:r>
          <w:r>
            <w:instrText xml:space="preserve"> PAGEREF _Toc32704 \h </w:instrText>
          </w:r>
          <w:r>
            <w:fldChar w:fldCharType="separate"/>
          </w:r>
          <w:r>
            <w:t>10</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_Toc6296 </w:instrText>
          </w:r>
          <w:r>
            <w:rPr>
              <w:highlight w:val="none"/>
            </w:rPr>
            <w:fldChar w:fldCharType="separate"/>
          </w:r>
          <w:r>
            <w:rPr>
              <w:rFonts w:hint="eastAsia" w:ascii="楷体" w:hAnsi="楷体" w:eastAsia="楷体" w:cs="楷体"/>
              <w:bCs/>
              <w:szCs w:val="32"/>
              <w:highlight w:val="none"/>
            </w:rPr>
            <w:t>（一）加分原则</w:t>
          </w:r>
          <w:r>
            <w:tab/>
          </w:r>
          <w:r>
            <w:fldChar w:fldCharType="begin"/>
          </w:r>
          <w:r>
            <w:instrText xml:space="preserve"> PAGEREF _Toc6296 \h </w:instrText>
          </w:r>
          <w:r>
            <w:fldChar w:fldCharType="separate"/>
          </w:r>
          <w:r>
            <w:t>10</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_Toc7269 </w:instrText>
          </w:r>
          <w:r>
            <w:rPr>
              <w:highlight w:val="none"/>
            </w:rPr>
            <w:fldChar w:fldCharType="separate"/>
          </w:r>
          <w:r>
            <w:rPr>
              <w:rFonts w:hint="eastAsia" w:ascii="楷体" w:hAnsi="楷体" w:eastAsia="楷体" w:cs="楷体"/>
              <w:bCs/>
              <w:szCs w:val="32"/>
              <w:highlight w:val="none"/>
            </w:rPr>
            <w:t>（二）加分对象</w:t>
          </w:r>
          <w:r>
            <w:tab/>
          </w:r>
          <w:r>
            <w:fldChar w:fldCharType="begin"/>
          </w:r>
          <w:r>
            <w:instrText xml:space="preserve"> PAGEREF _Toc7269 \h </w:instrText>
          </w:r>
          <w:r>
            <w:fldChar w:fldCharType="separate"/>
          </w:r>
          <w:r>
            <w:t>10</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_Toc12354 </w:instrText>
          </w:r>
          <w:r>
            <w:rPr>
              <w:highlight w:val="none"/>
            </w:rPr>
            <w:fldChar w:fldCharType="separate"/>
          </w:r>
          <w:r>
            <w:rPr>
              <w:rFonts w:hint="eastAsia" w:ascii="楷体" w:hAnsi="楷体" w:eastAsia="楷体" w:cs="楷体"/>
              <w:bCs/>
              <w:szCs w:val="32"/>
              <w:highlight w:val="none"/>
            </w:rPr>
            <w:t>（三）加分证明材料</w:t>
          </w:r>
          <w:r>
            <w:tab/>
          </w:r>
          <w:r>
            <w:fldChar w:fldCharType="begin"/>
          </w:r>
          <w:r>
            <w:instrText xml:space="preserve"> PAGEREF _Toc12354 \h </w:instrText>
          </w:r>
          <w:r>
            <w:fldChar w:fldCharType="separate"/>
          </w:r>
          <w:r>
            <w:t>11</w:t>
          </w:r>
          <w:r>
            <w:fldChar w:fldCharType="end"/>
          </w:r>
          <w:r>
            <w:rPr>
              <w:highlight w:val="none"/>
            </w:rPr>
            <w:fldChar w:fldCharType="end"/>
          </w:r>
        </w:p>
        <w:p>
          <w:pPr>
            <w:pStyle w:val="7"/>
            <w:tabs>
              <w:tab w:val="right" w:leader="dot" w:pos="8306"/>
            </w:tabs>
          </w:pPr>
          <w:r>
            <w:rPr>
              <w:highlight w:val="none"/>
            </w:rPr>
            <w:fldChar w:fldCharType="begin"/>
          </w:r>
          <w:r>
            <w:rPr>
              <w:highlight w:val="none"/>
            </w:rPr>
            <w:instrText xml:space="preserve"> HYPERLINK \l _Toc13089 </w:instrText>
          </w:r>
          <w:r>
            <w:rPr>
              <w:highlight w:val="none"/>
            </w:rPr>
            <w:fldChar w:fldCharType="separate"/>
          </w:r>
          <w:r>
            <w:rPr>
              <w:rFonts w:hint="eastAsia" w:ascii="黑体" w:hAnsi="黑体" w:eastAsia="黑体" w:cs="黑体"/>
              <w:bCs/>
              <w:strike w:val="0"/>
              <w:dstrike w:val="0"/>
              <w:kern w:val="2"/>
              <w:szCs w:val="32"/>
              <w:lang w:val="en-US" w:eastAsia="zh-CN" w:bidi="ar-SA"/>
            </w:rPr>
            <w:t>十、</w:t>
          </w:r>
          <w:r>
            <w:rPr>
              <w:rFonts w:hint="eastAsia" w:ascii="黑体" w:hAnsi="黑体" w:eastAsia="黑体"/>
              <w:bCs/>
              <w:szCs w:val="32"/>
              <w:highlight w:val="none"/>
            </w:rPr>
            <w:t>综合总分计算</w:t>
          </w:r>
          <w:r>
            <w:tab/>
          </w:r>
          <w:r>
            <w:fldChar w:fldCharType="begin"/>
          </w:r>
          <w:r>
            <w:instrText xml:space="preserve"> PAGEREF _Toc13089 \h </w:instrText>
          </w:r>
          <w:r>
            <w:fldChar w:fldCharType="separate"/>
          </w:r>
          <w:r>
            <w:t>12</w:t>
          </w:r>
          <w:r>
            <w:fldChar w:fldCharType="end"/>
          </w:r>
          <w:r>
            <w:rPr>
              <w:highlight w:val="none"/>
            </w:rPr>
            <w:fldChar w:fldCharType="end"/>
          </w:r>
        </w:p>
        <w:p>
          <w:pPr>
            <w:pStyle w:val="7"/>
            <w:tabs>
              <w:tab w:val="right" w:leader="dot" w:pos="8306"/>
            </w:tabs>
          </w:pPr>
          <w:r>
            <w:rPr>
              <w:highlight w:val="none"/>
            </w:rPr>
            <w:fldChar w:fldCharType="begin"/>
          </w:r>
          <w:r>
            <w:rPr>
              <w:highlight w:val="none"/>
            </w:rPr>
            <w:instrText xml:space="preserve"> HYPERLINK \l _Toc20133 </w:instrText>
          </w:r>
          <w:r>
            <w:rPr>
              <w:highlight w:val="none"/>
            </w:rPr>
            <w:fldChar w:fldCharType="separate"/>
          </w:r>
          <w:r>
            <w:rPr>
              <w:rFonts w:hint="eastAsia" w:ascii="黑体" w:hAnsi="黑体" w:eastAsia="黑体" w:cs="黑体"/>
              <w:bCs/>
              <w:strike w:val="0"/>
              <w:dstrike w:val="0"/>
              <w:kern w:val="2"/>
              <w:szCs w:val="32"/>
              <w:lang w:val="en-US" w:eastAsia="zh-CN" w:bidi="ar-SA"/>
            </w:rPr>
            <w:t>十一、</w:t>
          </w:r>
          <w:r>
            <w:rPr>
              <w:rFonts w:hint="eastAsia" w:ascii="黑体" w:hAnsi="黑体" w:eastAsia="黑体"/>
              <w:bCs/>
              <w:szCs w:val="32"/>
              <w:highlight w:val="none"/>
            </w:rPr>
            <w:t>体检和考察</w:t>
          </w:r>
          <w:r>
            <w:tab/>
          </w:r>
          <w:r>
            <w:fldChar w:fldCharType="begin"/>
          </w:r>
          <w:r>
            <w:instrText xml:space="preserve"> PAGEREF _Toc20133 \h </w:instrText>
          </w:r>
          <w:r>
            <w:fldChar w:fldCharType="separate"/>
          </w:r>
          <w:r>
            <w:t>13</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_Toc11023 </w:instrText>
          </w:r>
          <w:r>
            <w:rPr>
              <w:highlight w:val="none"/>
            </w:rPr>
            <w:fldChar w:fldCharType="separate"/>
          </w:r>
          <w:r>
            <w:rPr>
              <w:rFonts w:hint="eastAsia" w:ascii="楷体" w:hAnsi="楷体" w:eastAsia="楷体"/>
              <w:szCs w:val="32"/>
              <w:highlight w:val="none"/>
            </w:rPr>
            <w:t>（一）确定体检人选</w:t>
          </w:r>
          <w:r>
            <w:tab/>
          </w:r>
          <w:r>
            <w:fldChar w:fldCharType="begin"/>
          </w:r>
          <w:r>
            <w:instrText xml:space="preserve"> PAGEREF _Toc11023 \h </w:instrText>
          </w:r>
          <w:r>
            <w:fldChar w:fldCharType="separate"/>
          </w:r>
          <w:r>
            <w:t>13</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_Toc26651 </w:instrText>
          </w:r>
          <w:r>
            <w:rPr>
              <w:highlight w:val="none"/>
            </w:rPr>
            <w:fldChar w:fldCharType="separate"/>
          </w:r>
          <w:r>
            <w:rPr>
              <w:rFonts w:hint="eastAsia" w:ascii="楷体" w:hAnsi="楷体" w:eastAsia="楷体"/>
              <w:szCs w:val="32"/>
              <w:highlight w:val="none"/>
            </w:rPr>
            <w:t>（二）组织体检</w:t>
          </w:r>
          <w:r>
            <w:tab/>
          </w:r>
          <w:r>
            <w:fldChar w:fldCharType="begin"/>
          </w:r>
          <w:r>
            <w:instrText xml:space="preserve"> PAGEREF _Toc26651 \h </w:instrText>
          </w:r>
          <w:r>
            <w:fldChar w:fldCharType="separate"/>
          </w:r>
          <w:r>
            <w:t>13</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_Toc26444 </w:instrText>
          </w:r>
          <w:r>
            <w:rPr>
              <w:highlight w:val="none"/>
            </w:rPr>
            <w:fldChar w:fldCharType="separate"/>
          </w:r>
          <w:r>
            <w:rPr>
              <w:rFonts w:hint="eastAsia" w:ascii="楷体" w:hAnsi="楷体" w:eastAsia="楷体"/>
              <w:szCs w:val="32"/>
              <w:highlight w:val="none"/>
            </w:rPr>
            <w:t>（三）体检依据</w:t>
          </w:r>
          <w:r>
            <w:tab/>
          </w:r>
          <w:r>
            <w:fldChar w:fldCharType="begin"/>
          </w:r>
          <w:r>
            <w:instrText xml:space="preserve"> PAGEREF _Toc26444 \h </w:instrText>
          </w:r>
          <w:r>
            <w:fldChar w:fldCharType="separate"/>
          </w:r>
          <w:r>
            <w:t>13</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_Toc32558 </w:instrText>
          </w:r>
          <w:r>
            <w:rPr>
              <w:highlight w:val="none"/>
            </w:rPr>
            <w:fldChar w:fldCharType="separate"/>
          </w:r>
          <w:r>
            <w:rPr>
              <w:rFonts w:hint="eastAsia" w:ascii="楷体" w:hAnsi="楷体" w:eastAsia="楷体"/>
              <w:szCs w:val="32"/>
              <w:highlight w:val="none"/>
            </w:rPr>
            <w:t>（四）可延迟体检的情形</w:t>
          </w:r>
          <w:r>
            <w:tab/>
          </w:r>
          <w:r>
            <w:fldChar w:fldCharType="begin"/>
          </w:r>
          <w:r>
            <w:instrText xml:space="preserve"> PAGEREF _Toc32558 \h </w:instrText>
          </w:r>
          <w:r>
            <w:fldChar w:fldCharType="separate"/>
          </w:r>
          <w:r>
            <w:t>14</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_Toc3541 </w:instrText>
          </w:r>
          <w:r>
            <w:rPr>
              <w:highlight w:val="none"/>
            </w:rPr>
            <w:fldChar w:fldCharType="separate"/>
          </w:r>
          <w:r>
            <w:rPr>
              <w:rFonts w:hint="eastAsia" w:ascii="楷体" w:hAnsi="楷体" w:eastAsia="楷体"/>
              <w:szCs w:val="32"/>
              <w:highlight w:val="none"/>
            </w:rPr>
            <w:t>（五）考察</w:t>
          </w:r>
          <w:r>
            <w:tab/>
          </w:r>
          <w:r>
            <w:fldChar w:fldCharType="begin"/>
          </w:r>
          <w:r>
            <w:instrText xml:space="preserve"> PAGEREF _Toc3541 \h </w:instrText>
          </w:r>
          <w:r>
            <w:fldChar w:fldCharType="separate"/>
          </w:r>
          <w:r>
            <w:t>14</w:t>
          </w:r>
          <w:r>
            <w:fldChar w:fldCharType="end"/>
          </w:r>
          <w:r>
            <w:rPr>
              <w:highlight w:val="none"/>
            </w:rPr>
            <w:fldChar w:fldCharType="end"/>
          </w:r>
        </w:p>
        <w:p>
          <w:pPr>
            <w:pStyle w:val="7"/>
            <w:tabs>
              <w:tab w:val="right" w:leader="dot" w:pos="8306"/>
            </w:tabs>
          </w:pPr>
          <w:r>
            <w:rPr>
              <w:highlight w:val="none"/>
            </w:rPr>
            <w:fldChar w:fldCharType="begin"/>
          </w:r>
          <w:r>
            <w:rPr>
              <w:highlight w:val="none"/>
            </w:rPr>
            <w:instrText xml:space="preserve"> HYPERLINK \l _Toc23270 </w:instrText>
          </w:r>
          <w:r>
            <w:rPr>
              <w:highlight w:val="none"/>
            </w:rPr>
            <w:fldChar w:fldCharType="separate"/>
          </w:r>
          <w:r>
            <w:rPr>
              <w:rFonts w:hint="eastAsia" w:ascii="黑体" w:hAnsi="黑体" w:eastAsia="黑体" w:cs="黑体"/>
              <w:bCs/>
              <w:strike w:val="0"/>
              <w:dstrike w:val="0"/>
              <w:kern w:val="2"/>
              <w:szCs w:val="32"/>
              <w:lang w:val="en-US" w:eastAsia="zh-CN" w:bidi="ar-SA"/>
            </w:rPr>
            <w:t>十二、</w:t>
          </w:r>
          <w:r>
            <w:rPr>
              <w:rFonts w:hint="eastAsia" w:ascii="黑体" w:hAnsi="黑体" w:eastAsia="黑体"/>
              <w:bCs/>
              <w:szCs w:val="32"/>
              <w:highlight w:val="none"/>
            </w:rPr>
            <w:t>公示</w:t>
          </w:r>
          <w:r>
            <w:tab/>
          </w:r>
          <w:r>
            <w:fldChar w:fldCharType="begin"/>
          </w:r>
          <w:r>
            <w:instrText xml:space="preserve"> PAGEREF _Toc23270 \h </w:instrText>
          </w:r>
          <w:r>
            <w:fldChar w:fldCharType="separate"/>
          </w:r>
          <w:r>
            <w:t>15</w:t>
          </w:r>
          <w:r>
            <w:fldChar w:fldCharType="end"/>
          </w:r>
          <w:r>
            <w:rPr>
              <w:highlight w:val="none"/>
            </w:rPr>
            <w:fldChar w:fldCharType="end"/>
          </w:r>
        </w:p>
        <w:p>
          <w:pPr>
            <w:pStyle w:val="7"/>
            <w:tabs>
              <w:tab w:val="right" w:leader="dot" w:pos="8306"/>
            </w:tabs>
          </w:pPr>
          <w:r>
            <w:rPr>
              <w:highlight w:val="none"/>
            </w:rPr>
            <w:fldChar w:fldCharType="begin"/>
          </w:r>
          <w:r>
            <w:rPr>
              <w:highlight w:val="none"/>
            </w:rPr>
            <w:instrText xml:space="preserve"> HYPERLINK \l _Toc21717 </w:instrText>
          </w:r>
          <w:r>
            <w:rPr>
              <w:highlight w:val="none"/>
            </w:rPr>
            <w:fldChar w:fldCharType="separate"/>
          </w:r>
          <w:r>
            <w:rPr>
              <w:rFonts w:hint="eastAsia" w:ascii="黑体" w:hAnsi="黑体" w:eastAsia="黑体" w:cs="黑体"/>
              <w:bCs/>
              <w:strike w:val="0"/>
              <w:dstrike w:val="0"/>
              <w:kern w:val="2"/>
              <w:szCs w:val="32"/>
              <w:lang w:val="en-US" w:eastAsia="zh-CN" w:bidi="ar-SA"/>
            </w:rPr>
            <w:t>十三、</w:t>
          </w:r>
          <w:r>
            <w:rPr>
              <w:rFonts w:hint="eastAsia" w:ascii="黑体" w:hAnsi="黑体" w:eastAsia="黑体"/>
              <w:bCs/>
              <w:szCs w:val="32"/>
              <w:highlight w:val="none"/>
            </w:rPr>
            <w:t>聘用办理</w:t>
          </w:r>
          <w:r>
            <w:tab/>
          </w:r>
          <w:r>
            <w:fldChar w:fldCharType="begin"/>
          </w:r>
          <w:r>
            <w:instrText xml:space="preserve"> PAGEREF _Toc21717 \h </w:instrText>
          </w:r>
          <w:r>
            <w:fldChar w:fldCharType="separate"/>
          </w:r>
          <w:r>
            <w:t>15</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_Toc7958 </w:instrText>
          </w:r>
          <w:r>
            <w:rPr>
              <w:highlight w:val="none"/>
            </w:rPr>
            <w:fldChar w:fldCharType="separate"/>
          </w:r>
          <w:r>
            <w:rPr>
              <w:rFonts w:hint="eastAsia" w:ascii="楷体" w:hAnsi="楷体" w:eastAsia="楷体"/>
              <w:szCs w:val="32"/>
              <w:highlight w:val="none"/>
            </w:rPr>
            <w:t>（一）聘用手续办理</w:t>
          </w:r>
          <w:r>
            <w:tab/>
          </w:r>
          <w:r>
            <w:fldChar w:fldCharType="begin"/>
          </w:r>
          <w:r>
            <w:instrText xml:space="preserve"> PAGEREF _Toc7958 \h </w:instrText>
          </w:r>
          <w:r>
            <w:fldChar w:fldCharType="separate"/>
          </w:r>
          <w:r>
            <w:t>15</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_Toc17876 </w:instrText>
          </w:r>
          <w:r>
            <w:rPr>
              <w:highlight w:val="none"/>
            </w:rPr>
            <w:fldChar w:fldCharType="separate"/>
          </w:r>
          <w:r>
            <w:rPr>
              <w:rFonts w:hint="eastAsia" w:ascii="楷体" w:hAnsi="楷体" w:eastAsia="楷体"/>
              <w:szCs w:val="32"/>
              <w:highlight w:val="none"/>
            </w:rPr>
            <w:t>（二）岗位聘任</w:t>
          </w:r>
          <w:r>
            <w:tab/>
          </w:r>
          <w:r>
            <w:fldChar w:fldCharType="begin"/>
          </w:r>
          <w:r>
            <w:instrText xml:space="preserve"> PAGEREF _Toc17876 \h </w:instrText>
          </w:r>
          <w:r>
            <w:fldChar w:fldCharType="separate"/>
          </w:r>
          <w:r>
            <w:t>15</w:t>
          </w:r>
          <w:r>
            <w:fldChar w:fldCharType="end"/>
          </w:r>
          <w:r>
            <w:rPr>
              <w:highlight w:val="none"/>
            </w:rPr>
            <w:fldChar w:fldCharType="end"/>
          </w:r>
        </w:p>
        <w:p>
          <w:pPr>
            <w:pStyle w:val="7"/>
            <w:tabs>
              <w:tab w:val="right" w:leader="dot" w:pos="8306"/>
            </w:tabs>
          </w:pPr>
          <w:r>
            <w:rPr>
              <w:highlight w:val="none"/>
            </w:rPr>
            <w:fldChar w:fldCharType="begin"/>
          </w:r>
          <w:r>
            <w:rPr>
              <w:highlight w:val="none"/>
            </w:rPr>
            <w:instrText xml:space="preserve"> HYPERLINK \l _Toc30728 </w:instrText>
          </w:r>
          <w:r>
            <w:rPr>
              <w:highlight w:val="none"/>
            </w:rPr>
            <w:fldChar w:fldCharType="separate"/>
          </w:r>
          <w:r>
            <w:rPr>
              <w:rFonts w:hint="eastAsia" w:ascii="黑体" w:hAnsi="黑体" w:eastAsia="黑体" w:cs="黑体"/>
              <w:bCs/>
              <w:strike w:val="0"/>
              <w:dstrike w:val="0"/>
              <w:kern w:val="2"/>
              <w:szCs w:val="32"/>
              <w:lang w:val="en-US" w:eastAsia="zh-CN" w:bidi="ar-SA"/>
            </w:rPr>
            <w:t>十四、</w:t>
          </w:r>
          <w:r>
            <w:rPr>
              <w:rFonts w:hint="eastAsia" w:ascii="黑体" w:hAnsi="黑体" w:eastAsia="黑体"/>
              <w:bCs/>
              <w:szCs w:val="32"/>
              <w:highlight w:val="none"/>
            </w:rPr>
            <w:t>其他需说明事项</w:t>
          </w:r>
          <w:r>
            <w:tab/>
          </w:r>
          <w:r>
            <w:fldChar w:fldCharType="begin"/>
          </w:r>
          <w:r>
            <w:instrText xml:space="preserve"> PAGEREF _Toc30728 \h </w:instrText>
          </w:r>
          <w:r>
            <w:fldChar w:fldCharType="separate"/>
          </w:r>
          <w:r>
            <w:t>16</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_Toc2389 </w:instrText>
          </w:r>
          <w:r>
            <w:rPr>
              <w:highlight w:val="none"/>
            </w:rPr>
            <w:fldChar w:fldCharType="separate"/>
          </w:r>
          <w:r>
            <w:rPr>
              <w:rFonts w:hint="eastAsia" w:ascii="楷体" w:hAnsi="楷体" w:eastAsia="楷体" w:cs="楷体"/>
              <w:strike w:val="0"/>
              <w:dstrike w:val="0"/>
              <w:kern w:val="2"/>
              <w:szCs w:val="32"/>
              <w:lang w:val="en-US" w:eastAsia="zh-CN" w:bidi="ar-SA"/>
            </w:rPr>
            <w:t>（一）</w:t>
          </w:r>
          <w:r>
            <w:rPr>
              <w:rFonts w:hint="eastAsia" w:ascii="楷体" w:hAnsi="楷体" w:eastAsia="楷体"/>
              <w:szCs w:val="32"/>
              <w:highlight w:val="none"/>
            </w:rPr>
            <w:t>全日制普通教育学历</w:t>
          </w:r>
          <w:r>
            <w:tab/>
          </w:r>
          <w:r>
            <w:fldChar w:fldCharType="begin"/>
          </w:r>
          <w:r>
            <w:instrText xml:space="preserve"> PAGEREF _Toc2389 \h </w:instrText>
          </w:r>
          <w:r>
            <w:fldChar w:fldCharType="separate"/>
          </w:r>
          <w:r>
            <w:t>16</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_Toc19490 </w:instrText>
          </w:r>
          <w:r>
            <w:rPr>
              <w:highlight w:val="none"/>
            </w:rPr>
            <w:fldChar w:fldCharType="separate"/>
          </w:r>
          <w:r>
            <w:rPr>
              <w:rFonts w:hint="eastAsia" w:ascii="楷体" w:hAnsi="楷体" w:eastAsia="楷体" w:cs="楷体"/>
              <w:strike w:val="0"/>
              <w:dstrike w:val="0"/>
              <w:kern w:val="2"/>
              <w:szCs w:val="32"/>
              <w:lang w:val="en-US" w:eastAsia="zh-CN" w:bidi="ar-SA"/>
            </w:rPr>
            <w:t>（二）</w:t>
          </w:r>
          <w:r>
            <w:rPr>
              <w:rFonts w:hint="eastAsia" w:ascii="楷体" w:hAnsi="楷体" w:eastAsia="楷体"/>
              <w:szCs w:val="32"/>
              <w:highlight w:val="none"/>
            </w:rPr>
            <w:t>中共党员</w:t>
          </w:r>
          <w:r>
            <w:tab/>
          </w:r>
          <w:r>
            <w:fldChar w:fldCharType="begin"/>
          </w:r>
          <w:r>
            <w:instrText xml:space="preserve"> PAGEREF _Toc19490 \h </w:instrText>
          </w:r>
          <w:r>
            <w:fldChar w:fldCharType="separate"/>
          </w:r>
          <w:r>
            <w:t>16</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_Toc5195 </w:instrText>
          </w:r>
          <w:r>
            <w:rPr>
              <w:highlight w:val="none"/>
            </w:rPr>
            <w:fldChar w:fldCharType="separate"/>
          </w:r>
          <w:r>
            <w:rPr>
              <w:rFonts w:hint="eastAsia" w:ascii="楷体" w:hAnsi="楷体" w:eastAsia="楷体" w:cs="楷体"/>
              <w:strike w:val="0"/>
              <w:dstrike w:val="0"/>
              <w:kern w:val="2"/>
              <w:szCs w:val="32"/>
              <w:lang w:val="en-US" w:eastAsia="zh-CN" w:bidi="ar-SA"/>
            </w:rPr>
            <w:t>（三）</w:t>
          </w:r>
          <w:r>
            <w:rPr>
              <w:rFonts w:hint="eastAsia" w:ascii="楷体" w:hAnsi="楷体" w:eastAsia="楷体"/>
              <w:szCs w:val="32"/>
              <w:highlight w:val="none"/>
            </w:rPr>
            <w:t>港澳台人员</w:t>
          </w:r>
          <w:r>
            <w:tab/>
          </w:r>
          <w:r>
            <w:fldChar w:fldCharType="begin"/>
          </w:r>
          <w:r>
            <w:instrText xml:space="preserve"> PAGEREF _Toc5195 \h </w:instrText>
          </w:r>
          <w:r>
            <w:fldChar w:fldCharType="separate"/>
          </w:r>
          <w:r>
            <w:t>16</w:t>
          </w:r>
          <w:r>
            <w:fldChar w:fldCharType="end"/>
          </w:r>
          <w:r>
            <w:rPr>
              <w:highlight w:val="none"/>
            </w:rPr>
            <w:fldChar w:fldCharType="end"/>
          </w:r>
        </w:p>
        <w:p>
          <w:pPr>
            <w:pStyle w:val="7"/>
            <w:tabs>
              <w:tab w:val="right" w:leader="dot" w:pos="8306"/>
            </w:tabs>
          </w:pPr>
          <w:r>
            <w:rPr>
              <w:highlight w:val="none"/>
            </w:rPr>
            <w:fldChar w:fldCharType="begin"/>
          </w:r>
          <w:r>
            <w:rPr>
              <w:highlight w:val="none"/>
            </w:rPr>
            <w:instrText xml:space="preserve"> HYPERLINK \l _Toc27666 </w:instrText>
          </w:r>
          <w:r>
            <w:rPr>
              <w:highlight w:val="none"/>
            </w:rPr>
            <w:fldChar w:fldCharType="separate"/>
          </w:r>
          <w:r>
            <w:rPr>
              <w:rFonts w:hint="eastAsia" w:ascii="黑体" w:hAnsi="黑体" w:eastAsia="黑体" w:cs="黑体"/>
              <w:bCs/>
              <w:strike w:val="0"/>
              <w:dstrike w:val="0"/>
              <w:kern w:val="2"/>
              <w:szCs w:val="32"/>
              <w:lang w:val="en-US" w:eastAsia="zh-CN" w:bidi="ar-SA"/>
            </w:rPr>
            <w:t>十五、</w:t>
          </w:r>
          <w:r>
            <w:rPr>
              <w:rFonts w:hint="eastAsia" w:ascii="黑体" w:hAnsi="黑体" w:eastAsia="黑体"/>
              <w:bCs/>
              <w:szCs w:val="32"/>
              <w:highlight w:val="none"/>
            </w:rPr>
            <w:t>网上报名操作须知</w:t>
          </w:r>
          <w:r>
            <w:tab/>
          </w:r>
          <w:r>
            <w:fldChar w:fldCharType="begin"/>
          </w:r>
          <w:r>
            <w:instrText xml:space="preserve"> PAGEREF _Toc27666 \h </w:instrText>
          </w:r>
          <w:r>
            <w:fldChar w:fldCharType="separate"/>
          </w:r>
          <w:r>
            <w:t>16</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_Toc28203 </w:instrText>
          </w:r>
          <w:r>
            <w:rPr>
              <w:highlight w:val="none"/>
            </w:rPr>
            <w:fldChar w:fldCharType="separate"/>
          </w:r>
          <w:r>
            <w:rPr>
              <w:rFonts w:hint="eastAsia" w:ascii="楷体" w:hAnsi="楷体" w:eastAsia="楷体" w:cstheme="minorBidi"/>
              <w:kern w:val="2"/>
              <w:szCs w:val="32"/>
              <w:lang w:val="en-US" w:eastAsia="zh-CN" w:bidi="ar-SA"/>
            </w:rPr>
            <w:t>（一）</w:t>
          </w:r>
          <w:r>
            <w:rPr>
              <w:rFonts w:hint="eastAsia" w:ascii="楷体" w:hAnsi="楷体" w:eastAsia="楷体"/>
              <w:szCs w:val="32"/>
              <w:highlight w:val="none"/>
            </w:rPr>
            <w:t>报名信息填写</w:t>
          </w:r>
          <w:r>
            <w:tab/>
          </w:r>
          <w:r>
            <w:fldChar w:fldCharType="begin"/>
          </w:r>
          <w:r>
            <w:instrText xml:space="preserve"> PAGEREF _Toc28203 \h </w:instrText>
          </w:r>
          <w:r>
            <w:fldChar w:fldCharType="separate"/>
          </w:r>
          <w:r>
            <w:t>16</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_Toc30205 </w:instrText>
          </w:r>
          <w:r>
            <w:rPr>
              <w:highlight w:val="none"/>
            </w:rPr>
            <w:fldChar w:fldCharType="separate"/>
          </w:r>
          <w:r>
            <w:rPr>
              <w:rFonts w:hint="eastAsia" w:ascii="楷体" w:hAnsi="楷体" w:eastAsia="楷体" w:cstheme="minorBidi"/>
              <w:kern w:val="2"/>
              <w:szCs w:val="32"/>
              <w:lang w:val="en-US" w:eastAsia="zh-CN" w:bidi="ar-SA"/>
            </w:rPr>
            <w:t>（二）</w:t>
          </w:r>
          <w:r>
            <w:rPr>
              <w:rFonts w:hint="eastAsia" w:ascii="楷体" w:hAnsi="楷体" w:eastAsia="楷体"/>
              <w:szCs w:val="32"/>
              <w:highlight w:val="none"/>
            </w:rPr>
            <w:t>报名次数限定</w:t>
          </w:r>
          <w:r>
            <w:tab/>
          </w:r>
          <w:r>
            <w:fldChar w:fldCharType="begin"/>
          </w:r>
          <w:r>
            <w:instrText xml:space="preserve"> PAGEREF _Toc30205 \h </w:instrText>
          </w:r>
          <w:r>
            <w:fldChar w:fldCharType="separate"/>
          </w:r>
          <w:r>
            <w:t>17</w:t>
          </w:r>
          <w:r>
            <w:fldChar w:fldCharType="end"/>
          </w:r>
          <w:r>
            <w:rPr>
              <w:highlight w:val="none"/>
            </w:rPr>
            <w:fldChar w:fldCharType="end"/>
          </w:r>
        </w:p>
        <w:p>
          <w:pPr>
            <w:pStyle w:val="8"/>
            <w:tabs>
              <w:tab w:val="right" w:leader="dot" w:pos="8306"/>
            </w:tabs>
          </w:pPr>
          <w:r>
            <w:rPr>
              <w:highlight w:val="none"/>
            </w:rPr>
            <w:fldChar w:fldCharType="begin"/>
          </w:r>
          <w:r>
            <w:rPr>
              <w:highlight w:val="none"/>
            </w:rPr>
            <w:instrText xml:space="preserve"> HYPERLINK \l _Toc27256 </w:instrText>
          </w:r>
          <w:r>
            <w:rPr>
              <w:highlight w:val="none"/>
            </w:rPr>
            <w:fldChar w:fldCharType="separate"/>
          </w:r>
          <w:r>
            <w:rPr>
              <w:rFonts w:hint="eastAsia" w:ascii="楷体" w:hAnsi="楷体" w:eastAsia="楷体" w:cstheme="minorBidi"/>
              <w:kern w:val="2"/>
              <w:szCs w:val="32"/>
              <w:lang w:val="en-US" w:eastAsia="zh-CN" w:bidi="ar-SA"/>
            </w:rPr>
            <w:t>（三）</w:t>
          </w:r>
          <w:r>
            <w:rPr>
              <w:rFonts w:hint="eastAsia" w:ascii="楷体" w:hAnsi="楷体" w:eastAsia="楷体"/>
              <w:szCs w:val="32"/>
              <w:highlight w:val="none"/>
            </w:rPr>
            <w:t>申诉注意事项</w:t>
          </w:r>
          <w:r>
            <w:tab/>
          </w:r>
          <w:r>
            <w:fldChar w:fldCharType="begin"/>
          </w:r>
          <w:r>
            <w:instrText xml:space="preserve"> PAGEREF _Toc27256 \h </w:instrText>
          </w:r>
          <w:r>
            <w:fldChar w:fldCharType="separate"/>
          </w:r>
          <w:r>
            <w:t>17</w:t>
          </w:r>
          <w:r>
            <w:fldChar w:fldCharType="end"/>
          </w:r>
          <w:r>
            <w:rPr>
              <w:highlight w:val="none"/>
            </w:rPr>
            <w:fldChar w:fldCharType="end"/>
          </w:r>
        </w:p>
        <w:p>
          <w:pPr>
            <w:rPr>
              <w:rFonts w:ascii="仿宋_GB2312" w:eastAsia="仿宋_GB2312"/>
              <w:sz w:val="32"/>
              <w:szCs w:val="32"/>
              <w:highlight w:val="none"/>
            </w:rPr>
            <w:sectPr>
              <w:footerReference r:id="rId3" w:type="default"/>
              <w:pgSz w:w="11906" w:h="16838"/>
              <w:pgMar w:top="1440" w:right="1800" w:bottom="1440" w:left="1800" w:header="851" w:footer="992" w:gutter="0"/>
              <w:pgNumType w:start="1"/>
              <w:cols w:space="425" w:num="1"/>
              <w:docGrid w:type="lines" w:linePitch="312" w:charSpace="0"/>
            </w:sectPr>
          </w:pPr>
          <w:r>
            <w:rPr>
              <w:highlight w:val="none"/>
            </w:rPr>
            <w:fldChar w:fldCharType="end"/>
          </w:r>
        </w:p>
      </w:sdtContent>
    </w:sdt>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为帮助报考者详细了解报考政策、相关事项及提醒需要注意的有关事项，根据事业单位公开招聘工作人员有关规定，厦门技师学院及其主管部门联合编写了《</w:t>
      </w:r>
      <w:r>
        <w:rPr>
          <w:rFonts w:ascii="仿宋_GB2312" w:eastAsia="仿宋_GB2312"/>
          <w:color w:val="auto"/>
          <w:sz w:val="32"/>
          <w:szCs w:val="32"/>
          <w:highlight w:val="none"/>
        </w:rPr>
        <w:t>厦门市人力资源和社会保障局所属厦门技师学院</w:t>
      </w:r>
      <w:r>
        <w:rPr>
          <w:rFonts w:hint="eastAsia" w:ascii="仿宋_GB2312" w:eastAsia="仿宋_GB2312"/>
          <w:color w:val="auto"/>
          <w:sz w:val="32"/>
          <w:szCs w:val="32"/>
          <w:highlight w:val="none"/>
          <w:lang w:val="en-US" w:eastAsia="zh-CN"/>
        </w:rPr>
        <w:t>公开</w:t>
      </w:r>
      <w:r>
        <w:rPr>
          <w:rFonts w:ascii="仿宋_GB2312" w:eastAsia="仿宋_GB2312"/>
          <w:color w:val="auto"/>
          <w:sz w:val="32"/>
          <w:szCs w:val="32"/>
          <w:highlight w:val="none"/>
        </w:rPr>
        <w:t>招聘事业单位</w:t>
      </w:r>
      <w:r>
        <w:rPr>
          <w:rFonts w:hint="eastAsia" w:ascii="仿宋_GB2312" w:eastAsia="仿宋_GB2312"/>
          <w:color w:val="auto"/>
          <w:sz w:val="32"/>
          <w:szCs w:val="32"/>
          <w:highlight w:val="none"/>
          <w:lang w:val="en-US" w:eastAsia="zh-CN"/>
        </w:rPr>
        <w:t>人员</w:t>
      </w:r>
      <w:r>
        <w:rPr>
          <w:rFonts w:ascii="仿宋_GB2312" w:eastAsia="仿宋_GB2312"/>
          <w:color w:val="auto"/>
          <w:sz w:val="32"/>
          <w:szCs w:val="32"/>
          <w:highlight w:val="none"/>
        </w:rPr>
        <w:t>报考须知</w:t>
      </w:r>
      <w:r>
        <w:rPr>
          <w:rFonts w:hint="eastAsia" w:ascii="仿宋_GB2312" w:eastAsia="仿宋_GB2312"/>
          <w:color w:val="auto"/>
          <w:sz w:val="32"/>
          <w:szCs w:val="32"/>
          <w:highlight w:val="none"/>
        </w:rPr>
        <w:t>》。本须知仅适用于厦门市人力资源和社会保障局所属厦门技师学院</w:t>
      </w:r>
      <w:r>
        <w:rPr>
          <w:rFonts w:hint="eastAsia" w:ascii="仿宋_GB2312" w:eastAsia="仿宋_GB2312"/>
          <w:color w:val="auto"/>
          <w:sz w:val="32"/>
          <w:szCs w:val="32"/>
          <w:highlight w:val="none"/>
          <w:lang w:val="en-US" w:eastAsia="zh-CN"/>
        </w:rPr>
        <w:t>公开</w:t>
      </w:r>
      <w:r>
        <w:rPr>
          <w:rFonts w:hint="eastAsia" w:ascii="仿宋_GB2312" w:eastAsia="仿宋_GB2312"/>
          <w:color w:val="auto"/>
          <w:sz w:val="32"/>
          <w:szCs w:val="32"/>
          <w:highlight w:val="none"/>
        </w:rPr>
        <w:t>招聘事业单位</w:t>
      </w:r>
      <w:r>
        <w:rPr>
          <w:rFonts w:hint="eastAsia" w:ascii="仿宋_GB2312" w:eastAsia="仿宋_GB2312"/>
          <w:color w:val="auto"/>
          <w:sz w:val="32"/>
          <w:szCs w:val="32"/>
          <w:highlight w:val="none"/>
          <w:lang w:val="en-US" w:eastAsia="zh-CN"/>
        </w:rPr>
        <w:t>人员</w:t>
      </w:r>
      <w:r>
        <w:rPr>
          <w:rFonts w:hint="eastAsia" w:ascii="仿宋_GB2312" w:eastAsia="仿宋_GB2312"/>
          <w:color w:val="auto"/>
          <w:sz w:val="32"/>
          <w:szCs w:val="32"/>
          <w:highlight w:val="none"/>
        </w:rPr>
        <w:t>考试（202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6月</w:t>
      </w:r>
      <w:r>
        <w:rPr>
          <w:rFonts w:hint="eastAsia" w:ascii="仿宋_GB2312" w:eastAsia="仿宋_GB2312"/>
          <w:color w:val="auto"/>
          <w:sz w:val="32"/>
          <w:szCs w:val="32"/>
          <w:highlight w:val="none"/>
        </w:rPr>
        <w:t>），由厦门技师学院及其主管部门共同解释。</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textAlignment w:val="auto"/>
        <w:outlineLvl w:val="0"/>
        <w:rPr>
          <w:rFonts w:ascii="黑体" w:hAnsi="黑体" w:eastAsia="黑体"/>
          <w:b w:val="0"/>
          <w:bCs w:val="0"/>
          <w:color w:val="auto"/>
          <w:sz w:val="32"/>
          <w:szCs w:val="32"/>
          <w:highlight w:val="none"/>
        </w:rPr>
      </w:pPr>
      <w:bookmarkStart w:id="1" w:name="_Toc32492"/>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b w:val="0"/>
          <w:bCs w:val="0"/>
          <w:color w:val="auto"/>
          <w:sz w:val="32"/>
          <w:szCs w:val="32"/>
          <w:highlight w:val="none"/>
        </w:rPr>
        <w:t>基本条件</w:t>
      </w:r>
      <w:bookmarkEnd w:id="1"/>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（一）具有中华人民共和国国籍；</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（二）拥护中华人民共和国宪法,拥护中国共产党领导和社会主义制度； </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（三）具有良好的政治素质和道德品行，具有正常履行职责的身心条件；</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（四）18周岁以上、3</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周岁以下（在198</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6月</w:t>
      </w:r>
      <w:r>
        <w:rPr>
          <w:rFonts w:hint="eastAsia" w:ascii="仿宋_GB2312" w:eastAsia="仿宋_GB2312"/>
          <w:color w:val="auto"/>
          <w:sz w:val="32"/>
          <w:szCs w:val="32"/>
          <w:highlight w:val="none"/>
        </w:rPr>
        <w:t>至200</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6月</w:t>
      </w:r>
      <w:r>
        <w:rPr>
          <w:rFonts w:hint="eastAsia" w:ascii="仿宋_GB2312" w:eastAsia="仿宋_GB2312"/>
          <w:color w:val="auto"/>
          <w:sz w:val="32"/>
          <w:szCs w:val="32"/>
          <w:highlight w:val="none"/>
        </w:rPr>
        <w:t>期间出生），对年龄条件另有要求的，以岗位要求为准；</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（五）具备招聘岗位设置的资格条件。</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700" w:firstLineChars="219"/>
        <w:textAlignment w:val="auto"/>
        <w:outlineLvl w:val="0"/>
        <w:rPr>
          <w:rFonts w:ascii="黑体" w:hAnsi="黑体" w:eastAsia="黑体"/>
          <w:b w:val="0"/>
          <w:bCs w:val="0"/>
          <w:color w:val="auto"/>
          <w:sz w:val="32"/>
          <w:szCs w:val="32"/>
          <w:highlight w:val="none"/>
        </w:rPr>
      </w:pPr>
      <w:bookmarkStart w:id="2" w:name="_Toc9780"/>
      <w:r>
        <w:rPr>
          <w:rFonts w:hint="eastAsia" w:ascii="黑体" w:hAnsi="黑体" w:eastAsia="黑体" w:cs="黑体"/>
          <w:b w:val="0"/>
          <w:bCs w:val="0"/>
          <w:color w:val="auto"/>
          <w:kern w:val="2"/>
          <w:sz w:val="32"/>
          <w:szCs w:val="32"/>
          <w:lang w:val="en-US" w:eastAsia="zh-CN" w:bidi="ar-SA"/>
        </w:rPr>
        <w:t>二、</w:t>
      </w:r>
      <w:r>
        <w:rPr>
          <w:rFonts w:hint="eastAsia" w:ascii="黑体" w:hAnsi="黑体" w:eastAsia="黑体"/>
          <w:b w:val="0"/>
          <w:bCs w:val="0"/>
          <w:color w:val="auto"/>
          <w:sz w:val="32"/>
          <w:szCs w:val="32"/>
          <w:highlight w:val="none"/>
        </w:rPr>
        <w:t>不得报考或取消报考（聘用）资格的情形</w:t>
      </w:r>
      <w:bookmarkEnd w:id="2"/>
    </w:p>
    <w:p>
      <w:pPr>
        <w:keepNext w:val="0"/>
        <w:keepLines w:val="0"/>
        <w:pageBreakBefore w:val="0"/>
        <w:numPr>
          <w:ilvl w:val="0"/>
          <w:numId w:val="0"/>
        </w:numPr>
        <w:kinsoku/>
        <w:overflowPunct/>
        <w:topLinePunct w:val="0"/>
        <w:autoSpaceDE/>
        <w:autoSpaceDN/>
        <w:bidi w:val="0"/>
        <w:spacing w:line="560" w:lineRule="exact"/>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hAnsiTheme="minorHAnsi" w:cstheme="minorBidi"/>
          <w:strike w:val="0"/>
          <w:dstrike w:val="0"/>
          <w:color w:val="auto"/>
          <w:kern w:val="2"/>
          <w:sz w:val="32"/>
          <w:szCs w:val="32"/>
          <w:lang w:val="en-US" w:eastAsia="zh-CN" w:bidi="ar-SA"/>
        </w:rPr>
        <w:t>（一）</w:t>
      </w:r>
      <w:r>
        <w:rPr>
          <w:rFonts w:hint="eastAsia" w:ascii="仿宋_GB2312" w:eastAsia="仿宋_GB2312"/>
          <w:color w:val="auto"/>
          <w:sz w:val="32"/>
          <w:szCs w:val="32"/>
          <w:highlight w:val="none"/>
        </w:rPr>
        <w:t>因犯罪受过刑事处罚的；</w:t>
      </w:r>
    </w:p>
    <w:p>
      <w:pPr>
        <w:keepNext w:val="0"/>
        <w:keepLines w:val="0"/>
        <w:pageBreakBefore w:val="0"/>
        <w:numPr>
          <w:ilvl w:val="0"/>
          <w:numId w:val="0"/>
        </w:numPr>
        <w:kinsoku/>
        <w:overflowPunct/>
        <w:topLinePunct w:val="0"/>
        <w:autoSpaceDE/>
        <w:autoSpaceDN/>
        <w:bidi w:val="0"/>
        <w:spacing w:line="560" w:lineRule="exact"/>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hAnsiTheme="minorHAnsi" w:cstheme="minorBidi"/>
          <w:strike w:val="0"/>
          <w:dstrike w:val="0"/>
          <w:color w:val="auto"/>
          <w:kern w:val="2"/>
          <w:sz w:val="32"/>
          <w:szCs w:val="32"/>
          <w:lang w:val="en-US" w:eastAsia="zh-CN" w:bidi="ar-SA"/>
        </w:rPr>
        <w:t>（二）</w:t>
      </w:r>
      <w:r>
        <w:rPr>
          <w:rFonts w:hint="eastAsia" w:ascii="仿宋_GB2312" w:eastAsia="仿宋_GB2312"/>
          <w:color w:val="auto"/>
          <w:sz w:val="32"/>
          <w:szCs w:val="32"/>
          <w:highlight w:val="none"/>
        </w:rPr>
        <w:t>被开除公职或开除中国共产党党籍的；</w:t>
      </w:r>
    </w:p>
    <w:p>
      <w:pPr>
        <w:keepNext w:val="0"/>
        <w:keepLines w:val="0"/>
        <w:pageBreakBefore w:val="0"/>
        <w:numPr>
          <w:ilvl w:val="0"/>
          <w:numId w:val="0"/>
        </w:numPr>
        <w:kinsoku/>
        <w:overflowPunct/>
        <w:topLinePunct w:val="0"/>
        <w:autoSpaceDE/>
        <w:autoSpaceDN/>
        <w:bidi w:val="0"/>
        <w:spacing w:line="560" w:lineRule="exact"/>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hAnsiTheme="minorHAnsi" w:cstheme="minorBidi"/>
          <w:strike w:val="0"/>
          <w:dstrike w:val="0"/>
          <w:color w:val="auto"/>
          <w:kern w:val="2"/>
          <w:sz w:val="32"/>
          <w:szCs w:val="32"/>
          <w:lang w:val="en-US" w:eastAsia="zh-CN" w:bidi="ar-SA"/>
        </w:rPr>
        <w:t>（三）</w:t>
      </w:r>
      <w:r>
        <w:rPr>
          <w:rFonts w:hint="eastAsia" w:ascii="仿宋_GB2312" w:eastAsia="仿宋_GB2312"/>
          <w:color w:val="auto"/>
          <w:sz w:val="32"/>
          <w:szCs w:val="32"/>
          <w:highlight w:val="none"/>
        </w:rPr>
        <w:t>被依法列为失信联合惩戒对象的；</w:t>
      </w:r>
    </w:p>
    <w:p>
      <w:pPr>
        <w:keepNext w:val="0"/>
        <w:keepLines w:val="0"/>
        <w:pageBreakBefore w:val="0"/>
        <w:numPr>
          <w:ilvl w:val="0"/>
          <w:numId w:val="0"/>
        </w:numPr>
        <w:kinsoku/>
        <w:overflowPunct/>
        <w:topLinePunct w:val="0"/>
        <w:autoSpaceDE/>
        <w:autoSpaceDN/>
        <w:bidi w:val="0"/>
        <w:spacing w:line="560" w:lineRule="exact"/>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hAnsiTheme="minorHAnsi" w:cstheme="minorBidi"/>
          <w:strike w:val="0"/>
          <w:dstrike w:val="0"/>
          <w:color w:val="auto"/>
          <w:kern w:val="2"/>
          <w:sz w:val="32"/>
          <w:szCs w:val="32"/>
          <w:lang w:val="en-US" w:eastAsia="zh-CN" w:bidi="ar-SA"/>
        </w:rPr>
        <w:t>（四）</w:t>
      </w:r>
      <w:r>
        <w:rPr>
          <w:rFonts w:hint="eastAsia" w:ascii="仿宋_GB2312" w:eastAsia="仿宋_GB2312"/>
          <w:color w:val="auto"/>
          <w:sz w:val="32"/>
          <w:szCs w:val="32"/>
          <w:highlight w:val="none"/>
        </w:rPr>
        <w:t>在各级公务员或事业单位招考中被认定有舞弊等严重违反录</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用纪律行为的；</w:t>
      </w:r>
    </w:p>
    <w:p>
      <w:pPr>
        <w:keepNext w:val="0"/>
        <w:keepLines w:val="0"/>
        <w:pageBreakBefore w:val="0"/>
        <w:numPr>
          <w:ilvl w:val="0"/>
          <w:numId w:val="0"/>
        </w:numPr>
        <w:kinsoku/>
        <w:overflowPunct/>
        <w:topLinePunct w:val="0"/>
        <w:autoSpaceDE/>
        <w:autoSpaceDN/>
        <w:bidi w:val="0"/>
        <w:spacing w:line="560" w:lineRule="exact"/>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hAnsiTheme="minorHAnsi" w:cstheme="minorBidi"/>
          <w:strike w:val="0"/>
          <w:dstrike w:val="0"/>
          <w:color w:val="auto"/>
          <w:kern w:val="2"/>
          <w:sz w:val="32"/>
          <w:szCs w:val="32"/>
          <w:lang w:val="en-US" w:eastAsia="zh-CN" w:bidi="ar-SA"/>
        </w:rPr>
        <w:t>（五）</w:t>
      </w:r>
      <w:r>
        <w:rPr>
          <w:rFonts w:hint="eastAsia" w:ascii="仿宋_GB2312" w:eastAsia="仿宋_GB2312"/>
          <w:color w:val="auto"/>
          <w:sz w:val="32"/>
          <w:szCs w:val="32"/>
          <w:highlight w:val="none"/>
        </w:rPr>
        <w:t>公务员或参照公务员法管理机关（单位）工作人员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以下简称“参公人员”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被辞退未满5年的；</w:t>
      </w:r>
    </w:p>
    <w:p>
      <w:pPr>
        <w:keepNext w:val="0"/>
        <w:keepLines w:val="0"/>
        <w:pageBreakBefore w:val="0"/>
        <w:numPr>
          <w:ilvl w:val="0"/>
          <w:numId w:val="0"/>
        </w:numPr>
        <w:kinsoku/>
        <w:overflowPunct/>
        <w:topLinePunct w:val="0"/>
        <w:autoSpaceDE/>
        <w:autoSpaceDN/>
        <w:bidi w:val="0"/>
        <w:spacing w:line="560" w:lineRule="exact"/>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hAnsiTheme="minorHAnsi" w:cstheme="minorBidi"/>
          <w:strike w:val="0"/>
          <w:dstrike w:val="0"/>
          <w:color w:val="auto"/>
          <w:kern w:val="2"/>
          <w:sz w:val="32"/>
          <w:szCs w:val="32"/>
          <w:lang w:val="en-US" w:eastAsia="zh-CN" w:bidi="ar-SA"/>
        </w:rPr>
        <w:t>（六）</w:t>
      </w:r>
      <w:r>
        <w:rPr>
          <w:rFonts w:hint="eastAsia" w:ascii="仿宋_GB2312" w:eastAsia="仿宋_GB2312"/>
          <w:color w:val="auto"/>
          <w:sz w:val="32"/>
          <w:szCs w:val="32"/>
          <w:highlight w:val="none"/>
        </w:rPr>
        <w:t>公务员或参公人员录用后服务年限未达到与当地公务员主管部门或所在单位组织人事部门约定服务年限的；</w:t>
      </w:r>
    </w:p>
    <w:p>
      <w:pPr>
        <w:keepNext w:val="0"/>
        <w:keepLines w:val="0"/>
        <w:pageBreakBefore w:val="0"/>
        <w:numPr>
          <w:ilvl w:val="0"/>
          <w:numId w:val="0"/>
        </w:numPr>
        <w:kinsoku/>
        <w:overflowPunct/>
        <w:topLinePunct w:val="0"/>
        <w:autoSpaceDE/>
        <w:autoSpaceDN/>
        <w:bidi w:val="0"/>
        <w:spacing w:line="560" w:lineRule="exact"/>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hAnsiTheme="minorHAnsi" w:cstheme="minorBidi"/>
          <w:strike w:val="0"/>
          <w:dstrike w:val="0"/>
          <w:color w:val="auto"/>
          <w:kern w:val="2"/>
          <w:sz w:val="32"/>
          <w:szCs w:val="32"/>
          <w:lang w:val="en-US" w:eastAsia="zh-CN" w:bidi="ar-SA"/>
        </w:rPr>
        <w:t>（七）</w:t>
      </w:r>
      <w:r>
        <w:rPr>
          <w:rFonts w:hint="eastAsia" w:ascii="仿宋_GB2312" w:eastAsia="仿宋_GB2312"/>
          <w:color w:val="auto"/>
          <w:sz w:val="32"/>
          <w:szCs w:val="32"/>
          <w:highlight w:val="none"/>
        </w:rPr>
        <w:t>现役军人及普通高等院校全日制在读的非应届毕业生（即202</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年及以后才学业期满的全日制普通教育学生）；</w:t>
      </w:r>
    </w:p>
    <w:p>
      <w:pPr>
        <w:keepNext w:val="0"/>
        <w:keepLines w:val="0"/>
        <w:pageBreakBefore w:val="0"/>
        <w:numPr>
          <w:ilvl w:val="0"/>
          <w:numId w:val="0"/>
        </w:numPr>
        <w:kinsoku/>
        <w:overflowPunct/>
        <w:topLinePunct w:val="0"/>
        <w:autoSpaceDE/>
        <w:autoSpaceDN/>
        <w:bidi w:val="0"/>
        <w:spacing w:line="560" w:lineRule="exact"/>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hAnsiTheme="minorHAnsi" w:cstheme="minorBidi"/>
          <w:strike w:val="0"/>
          <w:dstrike w:val="0"/>
          <w:color w:val="auto"/>
          <w:kern w:val="2"/>
          <w:sz w:val="32"/>
          <w:szCs w:val="32"/>
          <w:lang w:val="en-US" w:eastAsia="zh-CN" w:bidi="ar-SA"/>
        </w:rPr>
        <w:t>（八）</w:t>
      </w:r>
      <w:r>
        <w:rPr>
          <w:rFonts w:hint="eastAsia" w:ascii="仿宋_GB2312" w:eastAsia="仿宋_GB2312"/>
          <w:color w:val="auto"/>
          <w:sz w:val="32"/>
          <w:szCs w:val="32"/>
          <w:highlight w:val="none"/>
        </w:rPr>
        <w:t>聘用后即构成应回避关系的；</w:t>
      </w:r>
    </w:p>
    <w:p>
      <w:pPr>
        <w:keepNext w:val="0"/>
        <w:keepLines w:val="0"/>
        <w:pageBreakBefore w:val="0"/>
        <w:numPr>
          <w:ilvl w:val="0"/>
          <w:numId w:val="0"/>
        </w:numPr>
        <w:kinsoku/>
        <w:overflowPunct/>
        <w:topLinePunct w:val="0"/>
        <w:autoSpaceDE/>
        <w:autoSpaceDN/>
        <w:bidi w:val="0"/>
        <w:spacing w:line="560" w:lineRule="exact"/>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hAnsiTheme="minorHAnsi" w:cstheme="minorBidi"/>
          <w:strike w:val="0"/>
          <w:dstrike w:val="0"/>
          <w:color w:val="auto"/>
          <w:kern w:val="2"/>
          <w:sz w:val="32"/>
          <w:szCs w:val="32"/>
          <w:lang w:val="en-US" w:eastAsia="zh-CN" w:bidi="ar-SA"/>
        </w:rPr>
        <w:t>（九）</w:t>
      </w:r>
      <w:r>
        <w:rPr>
          <w:rFonts w:hint="eastAsia" w:ascii="仿宋_GB2312" w:eastAsia="仿宋_GB2312"/>
          <w:color w:val="auto"/>
          <w:sz w:val="32"/>
          <w:szCs w:val="32"/>
          <w:highlight w:val="none"/>
        </w:rPr>
        <w:t>法律法规规章规定不得聘为事业单位人员的其他情形。</w:t>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0" w:leftChars="0" w:firstLine="700" w:firstLineChars="219"/>
        <w:textAlignment w:val="auto"/>
        <w:outlineLvl w:val="0"/>
        <w:rPr>
          <w:rFonts w:ascii="黑体" w:hAnsi="黑体" w:eastAsia="黑体"/>
          <w:b w:val="0"/>
          <w:bCs w:val="0"/>
          <w:color w:val="auto"/>
          <w:sz w:val="32"/>
          <w:szCs w:val="32"/>
          <w:highlight w:val="none"/>
        </w:rPr>
      </w:pPr>
      <w:bookmarkStart w:id="3" w:name="_Toc18382"/>
      <w:r>
        <w:rPr>
          <w:rFonts w:hint="eastAsia" w:ascii="黑体" w:hAnsi="黑体" w:eastAsia="黑体" w:cs="黑体"/>
          <w:b w:val="0"/>
          <w:bCs w:val="0"/>
          <w:color w:val="auto"/>
          <w:kern w:val="2"/>
          <w:sz w:val="32"/>
          <w:szCs w:val="32"/>
          <w:lang w:val="en-US" w:eastAsia="zh-CN" w:bidi="ar-SA"/>
        </w:rPr>
        <w:t>三、</w:t>
      </w:r>
      <w:r>
        <w:rPr>
          <w:rFonts w:hint="eastAsia" w:ascii="黑体" w:hAnsi="黑体" w:eastAsia="黑体"/>
          <w:b w:val="0"/>
          <w:bCs w:val="0"/>
          <w:color w:val="auto"/>
          <w:sz w:val="32"/>
          <w:szCs w:val="32"/>
          <w:highlight w:val="none"/>
        </w:rPr>
        <w:t>选报岗位</w:t>
      </w:r>
      <w:bookmarkEnd w:id="3"/>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ascii="楷体" w:hAnsi="楷体" w:eastAsia="楷体"/>
          <w:b/>
          <w:color w:val="auto"/>
          <w:sz w:val="32"/>
          <w:szCs w:val="32"/>
          <w:highlight w:val="none"/>
        </w:rPr>
      </w:pPr>
      <w:bookmarkStart w:id="4" w:name="_Toc13724"/>
      <w:r>
        <w:rPr>
          <w:rFonts w:hint="eastAsia" w:ascii="楷体" w:hAnsi="楷体" w:eastAsia="楷体"/>
          <w:b/>
          <w:color w:val="auto"/>
          <w:sz w:val="32"/>
          <w:szCs w:val="32"/>
          <w:highlight w:val="none"/>
        </w:rPr>
        <w:t>（一）报考条件确认</w:t>
      </w:r>
      <w:bookmarkEnd w:id="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1.报考者须在报名时，全面、逐项对照招聘岗位和招聘</w:t>
      </w:r>
      <w:r>
        <w:rPr>
          <w:rFonts w:hint="eastAsia" w:ascii="仿宋_GB2312" w:eastAsia="仿宋_GB2312"/>
          <w:color w:val="auto"/>
          <w:sz w:val="32"/>
          <w:szCs w:val="32"/>
          <w:highlight w:val="none"/>
          <w:lang w:val="en-US" w:eastAsia="zh-CN"/>
        </w:rPr>
        <w:t>公告</w:t>
      </w:r>
      <w:r>
        <w:rPr>
          <w:rFonts w:hint="eastAsia" w:ascii="仿宋_GB2312" w:eastAsia="仿宋_GB2312"/>
          <w:color w:val="auto"/>
          <w:sz w:val="32"/>
          <w:szCs w:val="32"/>
          <w:highlight w:val="none"/>
        </w:rPr>
        <w:t xml:space="preserve">等要求，确认符合报考资格条件。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2.本次考试每名报考者只能报考1个岗位，通过资格初审后不得更改，并以通过资格初审的岗位参加考试。</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rPr>
        <w:t>3.各岗位报名人数统计每天24:00更新一次，</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日24:00起不再更新。</w:t>
      </w:r>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5" w:name="_Toc27024"/>
      <w:r>
        <w:rPr>
          <w:rFonts w:hint="eastAsia" w:ascii="楷体" w:hAnsi="楷体" w:eastAsia="楷体"/>
          <w:b/>
          <w:color w:val="auto"/>
          <w:sz w:val="32"/>
          <w:szCs w:val="32"/>
          <w:highlight w:val="none"/>
        </w:rPr>
        <w:t>（二）照片要求</w:t>
      </w:r>
      <w:bookmarkEnd w:id="5"/>
    </w:p>
    <w:p>
      <w:pPr>
        <w:keepNext w:val="0"/>
        <w:keepLines w:val="0"/>
        <w:pageBreakBefore w:val="0"/>
        <w:shd w:val="clear" w:color="auto" w:fill="FFFFFF"/>
        <w:kinsoku/>
        <w:overflowPunct/>
        <w:topLinePunct w:val="0"/>
        <w:autoSpaceDE/>
        <w:autoSpaceDN/>
        <w:bidi w:val="0"/>
        <w:adjustRightInd w:val="0"/>
        <w:snapToGrid w:val="0"/>
        <w:spacing w:line="56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请提交近期正面免冠二寸彩色数码证件照（jpg格式，规格200K以下）。</w:t>
      </w:r>
    </w:p>
    <w:p>
      <w:pPr>
        <w:keepNext w:val="0"/>
        <w:keepLines w:val="0"/>
        <w:pageBreakBefore w:val="0"/>
        <w:shd w:val="clear" w:color="auto" w:fill="FFFFFF"/>
        <w:kinsoku/>
        <w:overflowPunct/>
        <w:topLinePunct w:val="0"/>
        <w:autoSpaceDE/>
        <w:autoSpaceDN/>
        <w:bidi w:val="0"/>
        <w:adjustRightInd w:val="0"/>
        <w:snapToGrid w:val="0"/>
        <w:spacing w:line="56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以下为常见不合格照片：①着制式服装照（公安、工商、武警等）；②着帽子或太醒目、夸张首饰等；③模糊不清晰的；④眼镜反光的；⑤明显不是个人照片的（如风景照、名人照等）；⑥随意自拍的半身照，全身照等无法看清楚脸部的； ⑦头发刘海遮挡面大的；⑧照片比例变形的；⑨手持证件的照片；⑩其他难以清晰辨认的。</w:t>
      </w:r>
    </w:p>
    <w:p>
      <w:pPr>
        <w:keepNext w:val="0"/>
        <w:keepLines w:val="0"/>
        <w:pageBreakBefore w:val="0"/>
        <w:numPr>
          <w:ilvl w:val="0"/>
          <w:numId w:val="1"/>
        </w:numPr>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6" w:name="_Toc13835"/>
      <w:r>
        <w:rPr>
          <w:rFonts w:hint="eastAsia" w:ascii="楷体" w:hAnsi="楷体" w:eastAsia="楷体"/>
          <w:b/>
          <w:color w:val="auto"/>
          <w:sz w:val="32"/>
          <w:szCs w:val="32"/>
          <w:highlight w:val="none"/>
        </w:rPr>
        <w:t>个人简历</w:t>
      </w:r>
      <w:bookmarkEnd w:id="6"/>
    </w:p>
    <w:p>
      <w:pPr>
        <w:keepNext w:val="0"/>
        <w:keepLines w:val="0"/>
        <w:pageBreakBefore w:val="0"/>
        <w:kinsoku/>
        <w:overflowPunct/>
        <w:topLinePunct w:val="0"/>
        <w:autoSpaceDE/>
        <w:autoSpaceDN/>
        <w:bidi w:val="0"/>
        <w:spacing w:line="560" w:lineRule="exact"/>
        <w:ind w:firstLine="640" w:firstLineChars="200"/>
        <w:textAlignment w:val="auto"/>
        <w:rPr>
          <w:rFonts w:ascii="仿宋_GB2312" w:hAnsi="仿宋_GB2312" w:eastAsia="仿宋_GB2312" w:cs="仿宋_GB2312"/>
          <w:b/>
          <w:bCs/>
          <w:color w:val="auto"/>
          <w:sz w:val="32"/>
          <w:szCs w:val="32"/>
          <w:highlight w:val="none"/>
        </w:rPr>
      </w:pPr>
      <w:bookmarkStart w:id="7" w:name="_Toc28349"/>
      <w:bookmarkStart w:id="8" w:name="_Toc11175"/>
      <w:bookmarkStart w:id="9" w:name="_Toc5535"/>
      <w:bookmarkStart w:id="10" w:name="_Toc29293"/>
      <w:bookmarkStart w:id="11" w:name="_Toc4830"/>
      <w:r>
        <w:rPr>
          <w:rFonts w:hint="eastAsia" w:ascii="仿宋_GB2312" w:hAnsi="仿宋_GB2312" w:eastAsia="仿宋_GB2312" w:cs="仿宋_GB2312"/>
          <w:color w:val="auto"/>
          <w:sz w:val="32"/>
          <w:szCs w:val="32"/>
          <w:highlight w:val="none"/>
        </w:rPr>
        <w:t>曾在报名系统中注册登记的考生，本次报考前务必首先根据实际情况重新修改完善个人相关信息（截至报名截止月或报名截止日），如实反映各阶段的就学、就业、待业等状态，期间不能中断，原则上应从高中起填写。</w:t>
      </w:r>
      <w:bookmarkEnd w:id="7"/>
      <w:bookmarkEnd w:id="8"/>
      <w:r>
        <w:rPr>
          <w:rFonts w:hint="eastAsia" w:ascii="仿宋_GB2312" w:hAnsi="仿宋_GB2312" w:eastAsia="仿宋_GB2312" w:cs="仿宋_GB2312"/>
          <w:color w:val="auto"/>
          <w:sz w:val="32"/>
          <w:szCs w:val="32"/>
          <w:highlight w:val="none"/>
        </w:rPr>
        <w:t>报名提交审核后再修改填写的个人信息，系统无法自动更新呈现。为避免所报考岗位审核人员按原信息审核判定不符合，</w:t>
      </w:r>
      <w:r>
        <w:rPr>
          <w:rFonts w:hint="eastAsia" w:ascii="仿宋_GB2312" w:hAnsi="仿宋_GB2312" w:eastAsia="仿宋_GB2312" w:cs="仿宋_GB2312"/>
          <w:b/>
          <w:bCs/>
          <w:color w:val="auto"/>
          <w:sz w:val="32"/>
          <w:szCs w:val="32"/>
          <w:highlight w:val="none"/>
        </w:rPr>
        <w:t>请务必在报名信息提交前完善并确认个人信息无误。</w:t>
      </w:r>
      <w:bookmarkEnd w:id="9"/>
      <w:bookmarkEnd w:id="10"/>
      <w:bookmarkEnd w:id="11"/>
    </w:p>
    <w:p>
      <w:pPr>
        <w:keepNext w:val="0"/>
        <w:keepLines w:val="0"/>
        <w:pageBreakBefore w:val="0"/>
        <w:kinsoku/>
        <w:overflowPunct/>
        <w:topLinePunct w:val="0"/>
        <w:autoSpaceDE/>
        <w:autoSpaceDN/>
        <w:bidi w:val="0"/>
        <w:spacing w:line="56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在机关事业单位工作的，须注明单位性质（机关、参公单位、非参公事业单位）和本人身份（公务员、参公事业编制人员、非参公事业编制人员、编外人员）。</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部队、武警相关单位工作人员须注明“现役人员”还是“非现役文职人员”，或者“合同制职员”等。</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在读人员须注明教育类别是“全日制普教”还是“非全日制普教”。</w:t>
      </w:r>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12" w:name="_Toc13892"/>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val="en-US" w:eastAsia="zh-CN"/>
        </w:rPr>
        <w:t>四</w:t>
      </w:r>
      <w:r>
        <w:rPr>
          <w:rFonts w:hint="eastAsia" w:ascii="楷体" w:hAnsi="楷体" w:eastAsia="楷体"/>
          <w:b/>
          <w:color w:val="auto"/>
          <w:sz w:val="32"/>
          <w:szCs w:val="32"/>
          <w:highlight w:val="none"/>
        </w:rPr>
        <w:t>）回避情形</w:t>
      </w:r>
      <w:bookmarkEnd w:id="12"/>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事业单位工作人员凡有下列亲属关系的，不得在同一事业单位聘用至具有直接上下级领导关系的管理岗位，不得在其中一方担任领导人员的事业单位聘用至从事组织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人事</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、纪检监察、审计、财务工作的岗位，也不得聘用至双方直接隶属于同一领导人员的从事组织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人事</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、纪检监察、审计、财务工作的内设机构正职岗位：</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夫妻关系</w:t>
      </w:r>
      <w:r>
        <w:rPr>
          <w:rFonts w:ascii="仿宋_GB2312" w:eastAsia="仿宋_GB2312"/>
          <w:color w:val="auto"/>
          <w:sz w:val="32"/>
          <w:szCs w:val="32"/>
          <w:highlight w:val="none"/>
        </w:rPr>
        <w:t>;</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直系血亲关系，包括祖父母、外祖父母、父母、子女、孙子女、外孙子女</w:t>
      </w:r>
      <w:r>
        <w:rPr>
          <w:rFonts w:ascii="仿宋_GB2312" w:eastAsia="仿宋_GB2312"/>
          <w:color w:val="auto"/>
          <w:sz w:val="32"/>
          <w:szCs w:val="32"/>
          <w:highlight w:val="none"/>
        </w:rPr>
        <w:t>;</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三代以内旁系血亲关系，包括叔伯姑舅姨、兄弟姐妹、堂兄弟姐妹、表兄弟姐妹、侄子女、甥子女</w:t>
      </w:r>
      <w:r>
        <w:rPr>
          <w:rFonts w:ascii="仿宋_GB2312" w:eastAsia="仿宋_GB2312"/>
          <w:color w:val="auto"/>
          <w:sz w:val="32"/>
          <w:szCs w:val="32"/>
          <w:highlight w:val="none"/>
        </w:rPr>
        <w:t>;</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近姻亲关系，包括配偶的父母、配偶的兄弟姐妹及其配偶、子女的配偶及子女配偶的父母、三代以内旁系血亲的配偶</w:t>
      </w:r>
      <w:r>
        <w:rPr>
          <w:rFonts w:ascii="仿宋_GB2312" w:eastAsia="仿宋_GB2312"/>
          <w:color w:val="auto"/>
          <w:sz w:val="32"/>
          <w:szCs w:val="32"/>
          <w:highlight w:val="none"/>
        </w:rPr>
        <w:t>;</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rPr>
        <w:t>其他亲属关系，包括养父母子女、形成抚养关系的继父母子女及由此形成的直系血亲、三代以内旁系血亲和近姻亲关系。</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所称直接上下级领导关系包括：</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领导班子正职与副职</w:t>
      </w:r>
      <w:r>
        <w:rPr>
          <w:rFonts w:ascii="仿宋_GB2312" w:eastAsia="仿宋_GB2312"/>
          <w:color w:val="auto"/>
          <w:sz w:val="32"/>
          <w:szCs w:val="32"/>
          <w:highlight w:val="none"/>
        </w:rPr>
        <w:t>;</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同一内设机构正职与副职</w:t>
      </w:r>
      <w:r>
        <w:rPr>
          <w:rFonts w:ascii="仿宋_GB2312" w:eastAsia="仿宋_GB2312"/>
          <w:color w:val="auto"/>
          <w:sz w:val="32"/>
          <w:szCs w:val="32"/>
          <w:highlight w:val="none"/>
        </w:rPr>
        <w:t>;</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上级正职、副职与下级正职</w:t>
      </w:r>
      <w:r>
        <w:rPr>
          <w:rFonts w:ascii="仿宋_GB2312" w:eastAsia="仿宋_GB2312"/>
          <w:color w:val="auto"/>
          <w:sz w:val="32"/>
          <w:szCs w:val="32"/>
          <w:highlight w:val="none"/>
        </w:rPr>
        <w:t>;</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单位无内设机构的，其正职、副职与其他管理人员以及从事审计、财务工作的专业技术人员</w:t>
      </w:r>
      <w:r>
        <w:rPr>
          <w:rFonts w:ascii="仿宋_GB2312" w:eastAsia="仿宋_GB2312"/>
          <w:color w:val="auto"/>
          <w:sz w:val="32"/>
          <w:szCs w:val="32"/>
          <w:highlight w:val="none"/>
        </w:rPr>
        <w:t>;</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rPr>
        <w:t>内设机构无下一级单位的，其正职、副职与其他管理人员以及从事审计、财务工作的专业技术人员。</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从事招聘工作的人员存在应当回避情形的，须实行履职回避。</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outlineLvl w:val="0"/>
        <w:rPr>
          <w:rFonts w:ascii="黑体" w:hAnsi="黑体" w:eastAsia="黑体"/>
          <w:b w:val="0"/>
          <w:bCs w:val="0"/>
          <w:color w:val="auto"/>
          <w:sz w:val="32"/>
          <w:szCs w:val="32"/>
          <w:highlight w:val="none"/>
        </w:rPr>
      </w:pPr>
      <w:bookmarkStart w:id="13" w:name="_Toc26768"/>
      <w:r>
        <w:rPr>
          <w:rFonts w:hint="eastAsia" w:ascii="黑体" w:hAnsi="黑体" w:eastAsia="黑体" w:cs="黑体"/>
          <w:b w:val="0"/>
          <w:bCs w:val="0"/>
          <w:strike w:val="0"/>
          <w:dstrike w:val="0"/>
          <w:color w:val="auto"/>
          <w:kern w:val="2"/>
          <w:sz w:val="32"/>
          <w:szCs w:val="32"/>
          <w:lang w:val="en-US" w:eastAsia="zh-CN" w:bidi="ar-SA"/>
        </w:rPr>
        <w:t>四、</w:t>
      </w:r>
      <w:r>
        <w:rPr>
          <w:rFonts w:hint="eastAsia" w:ascii="黑体" w:hAnsi="黑体" w:eastAsia="黑体"/>
          <w:b w:val="0"/>
          <w:bCs w:val="0"/>
          <w:color w:val="auto"/>
          <w:sz w:val="32"/>
          <w:szCs w:val="32"/>
          <w:highlight w:val="none"/>
        </w:rPr>
        <w:t>年龄、资格（历）等的计算办法</w:t>
      </w:r>
      <w:bookmarkEnd w:id="13"/>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如无特别说明，相关年限的计算、证书取得时间等，均指计算截至报名截止当月，即202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6月</w:t>
      </w:r>
      <w:r>
        <w:rPr>
          <w:rFonts w:hint="eastAsia" w:ascii="仿宋_GB2312" w:eastAsia="仿宋_GB2312"/>
          <w:color w:val="auto"/>
          <w:sz w:val="32"/>
          <w:szCs w:val="32"/>
          <w:highlight w:val="none"/>
        </w:rPr>
        <w:t>。</w:t>
      </w:r>
    </w:p>
    <w:p>
      <w:pPr>
        <w:keepNext w:val="0"/>
        <w:keepLines w:val="0"/>
        <w:pageBreakBefore w:val="0"/>
        <w:numPr>
          <w:ilvl w:val="0"/>
          <w:numId w:val="0"/>
        </w:numPr>
        <w:kinsoku/>
        <w:overflowPunct/>
        <w:topLinePunct w:val="0"/>
        <w:autoSpaceDE/>
        <w:autoSpaceDN/>
        <w:bidi w:val="0"/>
        <w:spacing w:line="560" w:lineRule="exact"/>
        <w:ind w:firstLine="643" w:firstLineChars="200"/>
        <w:textAlignment w:val="auto"/>
        <w:outlineLvl w:val="1"/>
        <w:rPr>
          <w:rFonts w:ascii="楷体" w:hAnsi="楷体" w:eastAsia="楷体" w:cs="楷体"/>
          <w:b/>
          <w:bCs/>
          <w:color w:val="auto"/>
          <w:sz w:val="32"/>
          <w:szCs w:val="32"/>
          <w:highlight w:val="none"/>
        </w:rPr>
      </w:pPr>
      <w:bookmarkStart w:id="14" w:name="_Toc19700"/>
      <w:r>
        <w:rPr>
          <w:rFonts w:hint="eastAsia" w:ascii="楷体" w:hAnsi="楷体" w:eastAsia="楷体" w:cs="楷体"/>
          <w:b/>
          <w:bCs/>
          <w:color w:val="auto"/>
          <w:kern w:val="2"/>
          <w:sz w:val="32"/>
          <w:szCs w:val="32"/>
          <w:lang w:val="en-US" w:eastAsia="zh-CN" w:bidi="ar-SA"/>
        </w:rPr>
        <w:t>（一）</w:t>
      </w:r>
      <w:r>
        <w:rPr>
          <w:rFonts w:hint="eastAsia" w:ascii="楷体" w:hAnsi="楷体" w:eastAsia="楷体" w:cs="楷体"/>
          <w:b/>
          <w:bCs/>
          <w:color w:val="auto"/>
          <w:sz w:val="32"/>
          <w:szCs w:val="32"/>
          <w:highlight w:val="none"/>
        </w:rPr>
        <w:t>年龄</w:t>
      </w:r>
      <w:bookmarkEnd w:id="14"/>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最高年龄要求3</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周岁是指在1987年6月至2008年6月期间出生的人员，具体计算到月。</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其他年龄要求按此类推。</w:t>
      </w:r>
    </w:p>
    <w:p>
      <w:pPr>
        <w:keepNext w:val="0"/>
        <w:keepLines w:val="0"/>
        <w:pageBreakBefore w:val="0"/>
        <w:numPr>
          <w:ilvl w:val="0"/>
          <w:numId w:val="0"/>
        </w:numPr>
        <w:kinsoku/>
        <w:overflowPunct/>
        <w:topLinePunct w:val="0"/>
        <w:autoSpaceDE/>
        <w:autoSpaceDN/>
        <w:bidi w:val="0"/>
        <w:spacing w:line="560" w:lineRule="exact"/>
        <w:ind w:firstLine="643" w:firstLineChars="200"/>
        <w:textAlignment w:val="auto"/>
        <w:outlineLvl w:val="1"/>
        <w:rPr>
          <w:rFonts w:ascii="楷体" w:hAnsi="楷体" w:eastAsia="楷体" w:cs="楷体"/>
          <w:b/>
          <w:bCs/>
          <w:color w:val="auto"/>
          <w:sz w:val="32"/>
          <w:szCs w:val="32"/>
          <w:highlight w:val="none"/>
        </w:rPr>
      </w:pPr>
      <w:bookmarkStart w:id="15" w:name="_Toc12634"/>
      <w:r>
        <w:rPr>
          <w:rFonts w:hint="eastAsia" w:ascii="楷体" w:hAnsi="楷体" w:eastAsia="楷体" w:cs="楷体"/>
          <w:b/>
          <w:bCs/>
          <w:color w:val="auto"/>
          <w:kern w:val="2"/>
          <w:sz w:val="32"/>
          <w:szCs w:val="32"/>
          <w:lang w:val="en-US" w:eastAsia="zh-CN" w:bidi="ar-SA"/>
        </w:rPr>
        <w:t>（二）</w:t>
      </w:r>
      <w:r>
        <w:rPr>
          <w:rFonts w:hint="eastAsia" w:ascii="楷体" w:hAnsi="楷体" w:eastAsia="楷体" w:cs="楷体"/>
          <w:b/>
          <w:bCs/>
          <w:color w:val="auto"/>
          <w:sz w:val="32"/>
          <w:szCs w:val="32"/>
          <w:highlight w:val="none"/>
        </w:rPr>
        <w:t>资格（历）等</w:t>
      </w:r>
      <w:bookmarkEnd w:id="15"/>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w:t>
      </w:r>
      <w:r>
        <w:rPr>
          <w:rFonts w:hint="eastAsia" w:ascii="仿宋_GB2312" w:eastAsia="仿宋_GB2312"/>
          <w:color w:val="auto"/>
          <w:sz w:val="32"/>
          <w:szCs w:val="32"/>
          <w:highlight w:val="none"/>
          <w:lang w:val="en-US" w:eastAsia="zh-CN"/>
        </w:rPr>
        <w:t>公告</w:t>
      </w:r>
      <w:r>
        <w:rPr>
          <w:rFonts w:hint="eastAsia" w:ascii="仿宋_GB2312" w:eastAsia="仿宋_GB2312"/>
          <w:color w:val="auto"/>
          <w:sz w:val="32"/>
          <w:szCs w:val="32"/>
          <w:highlight w:val="none"/>
        </w:rPr>
        <w:t>》和《报考须知》要求具有</w:t>
      </w:r>
      <w:r>
        <w:rPr>
          <w:rFonts w:ascii="Arial" w:hAnsi="Arial" w:eastAsia="仿宋_GB2312" w:cs="Arial"/>
          <w:color w:val="auto"/>
          <w:sz w:val="32"/>
          <w:szCs w:val="32"/>
          <w:highlight w:val="none"/>
        </w:rPr>
        <w:t>××</w:t>
      </w:r>
      <w:r>
        <w:rPr>
          <w:rFonts w:hint="eastAsia" w:ascii="仿宋_GB2312" w:eastAsia="仿宋_GB2312"/>
          <w:color w:val="auto"/>
          <w:sz w:val="32"/>
          <w:szCs w:val="32"/>
          <w:highlight w:val="none"/>
        </w:rPr>
        <w:t>条件以上的，如无特别说明，均含本数。如：具有</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年以上工作经历，指截至报名截止当月具有</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年或</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年以上工作经历。</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outlineLvl w:val="0"/>
        <w:rPr>
          <w:rFonts w:ascii="黑体" w:hAnsi="黑体" w:eastAsia="黑体"/>
          <w:b w:val="0"/>
          <w:bCs w:val="0"/>
          <w:color w:val="auto"/>
          <w:sz w:val="32"/>
          <w:szCs w:val="32"/>
          <w:highlight w:val="none"/>
        </w:rPr>
      </w:pPr>
      <w:bookmarkStart w:id="16" w:name="_Toc1316"/>
      <w:r>
        <w:rPr>
          <w:rFonts w:hint="eastAsia" w:ascii="黑体" w:hAnsi="黑体" w:eastAsia="黑体" w:cs="黑体"/>
          <w:b w:val="0"/>
          <w:bCs w:val="0"/>
          <w:strike w:val="0"/>
          <w:dstrike w:val="0"/>
          <w:color w:val="auto"/>
          <w:kern w:val="2"/>
          <w:sz w:val="32"/>
          <w:szCs w:val="32"/>
          <w:lang w:val="en-US" w:eastAsia="zh-CN" w:bidi="ar-SA"/>
        </w:rPr>
        <w:t>五、</w:t>
      </w:r>
      <w:r>
        <w:rPr>
          <w:rFonts w:hint="eastAsia" w:ascii="黑体" w:hAnsi="黑体" w:eastAsia="黑体"/>
          <w:b w:val="0"/>
          <w:bCs w:val="0"/>
          <w:color w:val="auto"/>
          <w:sz w:val="32"/>
          <w:szCs w:val="32"/>
          <w:highlight w:val="none"/>
        </w:rPr>
        <w:t>学历（位）认定</w:t>
      </w:r>
      <w:bookmarkEnd w:id="16"/>
    </w:p>
    <w:p>
      <w:pPr>
        <w:keepNext w:val="0"/>
        <w:keepLines w:val="0"/>
        <w:pageBreakBefore w:val="0"/>
        <w:kinsoku/>
        <w:overflowPunct/>
        <w:topLinePunct w:val="0"/>
        <w:autoSpaceDE/>
        <w:autoSpaceDN/>
        <w:bidi w:val="0"/>
        <w:spacing w:line="560" w:lineRule="exact"/>
        <w:ind w:firstLine="640" w:firstLineChars="200"/>
        <w:textAlignment w:val="auto"/>
        <w:rPr>
          <w:rFonts w:ascii="楷体" w:hAnsi="楷体" w:eastAsia="楷体"/>
          <w:b/>
          <w:color w:val="auto"/>
          <w:sz w:val="32"/>
          <w:szCs w:val="32"/>
          <w:highlight w:val="none"/>
        </w:rPr>
      </w:pPr>
      <w:r>
        <w:rPr>
          <w:rFonts w:hint="eastAsia" w:ascii="仿宋_GB2312" w:eastAsia="仿宋_GB2312"/>
          <w:color w:val="auto"/>
          <w:sz w:val="32"/>
          <w:szCs w:val="32"/>
          <w:highlight w:val="none"/>
        </w:rPr>
        <w:t>报考者的学历应为国家承认的国民教育序列学历。</w:t>
      </w:r>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17" w:name="_Toc9669"/>
      <w:r>
        <w:rPr>
          <w:rFonts w:hint="eastAsia" w:ascii="楷体" w:hAnsi="楷体" w:eastAsia="楷体"/>
          <w:b/>
          <w:color w:val="auto"/>
          <w:sz w:val="32"/>
          <w:szCs w:val="32"/>
          <w:highlight w:val="none"/>
        </w:rPr>
        <w:t>（一）境内学历（位）</w:t>
      </w:r>
      <w:bookmarkEnd w:id="17"/>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用于报考的学历（位）（含自学考试、成人教育、网络教育、夜大、电大等）应在中国高等教育学生信息网（简称“学信网”，http://www.chsi.com.cn/）上可查询认证。已取得国家承认的列入国民教育序列学历的报考者，以辅修专业报考的，其专业资格也可以按照本人同时收录在“学信网”“学信档案”版块“学历信息”和“学位信息”栏目的辅修专业信息予以认定。</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技工院校全日制高级工班、预备技师（技师）班毕业，且毕业时已取得相应高级工、预备技师（技师）职业技能等级证书的，经招聘单位及主管部门同意，可分别视同大专、本科学历，报考我市市、区属事业单位招聘岗位。</w:t>
      </w:r>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18" w:name="_Toc21269"/>
      <w:r>
        <w:rPr>
          <w:rFonts w:hint="eastAsia" w:ascii="楷体" w:hAnsi="楷体" w:eastAsia="楷体"/>
          <w:b/>
          <w:color w:val="auto"/>
          <w:sz w:val="32"/>
          <w:szCs w:val="32"/>
          <w:highlight w:val="none"/>
        </w:rPr>
        <w:t>（二）第二学士学位</w:t>
      </w:r>
      <w:bookmarkEnd w:id="18"/>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根据《教育部办公厅关于在普通高校继续开展第二学士学位教育的通知》（教高厅函〔2020〕9号）取得第二学士学位的毕业证书和学位证书，按上述要求进行查询认证。</w:t>
      </w:r>
    </w:p>
    <w:p>
      <w:pPr>
        <w:keepNext w:val="0"/>
        <w:keepLines w:val="0"/>
        <w:pageBreakBefore w:val="0"/>
        <w:kinsoku/>
        <w:overflowPunct/>
        <w:topLinePunct w:val="0"/>
        <w:autoSpaceDE/>
        <w:autoSpaceDN/>
        <w:bidi w:val="0"/>
        <w:spacing w:line="560" w:lineRule="exact"/>
        <w:ind w:firstLine="643" w:firstLineChars="200"/>
        <w:textAlignment w:val="auto"/>
        <w:outlineLvl w:val="1"/>
        <w:rPr>
          <w:color w:val="auto"/>
          <w:highlight w:val="none"/>
        </w:rPr>
      </w:pPr>
      <w:bookmarkStart w:id="19" w:name="_Toc13309"/>
      <w:r>
        <w:rPr>
          <w:rFonts w:hint="eastAsia" w:ascii="楷体" w:hAnsi="楷体" w:eastAsia="楷体"/>
          <w:b/>
          <w:color w:val="auto"/>
          <w:sz w:val="32"/>
          <w:szCs w:val="32"/>
          <w:highlight w:val="none"/>
        </w:rPr>
        <w:t>（三）境外学历（位）</w:t>
      </w:r>
      <w:bookmarkEnd w:id="19"/>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持境外学历（位）报考的，或者属于国内院校与国外院校联合办学取得境外学历（位）的，应提供教育部留学服务中心出具的有效证明材料。</w:t>
      </w:r>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20" w:name="_Toc21357"/>
      <w:r>
        <w:rPr>
          <w:rFonts w:hint="eastAsia" w:ascii="楷体" w:hAnsi="楷体" w:eastAsia="楷体"/>
          <w:b/>
          <w:color w:val="auto"/>
          <w:sz w:val="32"/>
          <w:szCs w:val="32"/>
          <w:highlight w:val="none"/>
        </w:rPr>
        <w:t>（四）我省“双学位”“双专业”学历</w:t>
      </w:r>
      <w:bookmarkEnd w:id="20"/>
    </w:p>
    <w:p>
      <w:pPr>
        <w:keepNext w:val="0"/>
        <w:keepLines w:val="0"/>
        <w:pageBreakBefore w:val="0"/>
        <w:widowControl/>
        <w:kinsoku/>
        <w:overflowPunct/>
        <w:topLinePunct w:val="0"/>
        <w:autoSpaceDE/>
        <w:autoSpaceDN/>
        <w:bidi w:val="0"/>
        <w:spacing w:line="560" w:lineRule="exact"/>
        <w:ind w:firstLine="6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根据《关于在全省高校毕业生中试行“双学位”“双专业”教育的意见》（闽教高〔2009〕9号），经修读达到毕业条件并获得“双学位”“双专业”证书的报考者，在本省范围内承认其学历、学位。</w:t>
      </w:r>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21" w:name="_Toc30865"/>
      <w:r>
        <w:rPr>
          <w:rFonts w:hint="eastAsia" w:ascii="楷体" w:hAnsi="楷体" w:eastAsia="楷体"/>
          <w:b/>
          <w:color w:val="auto"/>
          <w:sz w:val="32"/>
          <w:szCs w:val="32"/>
          <w:highlight w:val="none"/>
        </w:rPr>
        <w:t>（五）提醒事项</w:t>
      </w:r>
      <w:bookmarkEnd w:id="21"/>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1.面试资格复核时，招聘单位将对学历（位）进行核查，请考生按照上述要求，提前做好相应认证报告或网上查验准备。</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届高校毕业生在岗位资格复核时，尚无法提供学历（位）证书及其认证材料原件的，须提供有效的《全国普通高等学校毕业生就业协议书》或相关证明，且须于202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月31日前取得并能提供符合岗位报考条件的相应学历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证书及其认证材料，否则视为自动放弃考试（聘用）资格。</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outlineLvl w:val="0"/>
        <w:rPr>
          <w:rFonts w:ascii="黑体" w:hAnsi="黑体" w:eastAsia="黑体"/>
          <w:b w:val="0"/>
          <w:bCs w:val="0"/>
          <w:color w:val="auto"/>
          <w:sz w:val="32"/>
          <w:szCs w:val="32"/>
          <w:highlight w:val="none"/>
        </w:rPr>
      </w:pPr>
      <w:bookmarkStart w:id="22" w:name="_Toc24830"/>
      <w:r>
        <w:rPr>
          <w:rFonts w:hint="eastAsia" w:ascii="黑体" w:hAnsi="黑体" w:eastAsia="黑体" w:cs="黑体"/>
          <w:b w:val="0"/>
          <w:bCs w:val="0"/>
          <w:strike w:val="0"/>
          <w:dstrike w:val="0"/>
          <w:color w:val="auto"/>
          <w:kern w:val="2"/>
          <w:sz w:val="32"/>
          <w:szCs w:val="32"/>
          <w:lang w:val="en-US" w:eastAsia="zh-CN" w:bidi="ar-SA"/>
        </w:rPr>
        <w:t>六、</w:t>
      </w:r>
      <w:r>
        <w:rPr>
          <w:rFonts w:hint="eastAsia" w:ascii="黑体" w:hAnsi="黑体" w:eastAsia="黑体"/>
          <w:b w:val="0"/>
          <w:bCs w:val="0"/>
          <w:color w:val="auto"/>
          <w:sz w:val="32"/>
          <w:szCs w:val="32"/>
          <w:highlight w:val="none"/>
        </w:rPr>
        <w:t>专业</w:t>
      </w:r>
      <w:bookmarkEnd w:id="22"/>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bdr w:val="single" w:color="auto" w:sz="4" w:space="0"/>
        </w:rPr>
      </w:pPr>
      <w:r>
        <w:rPr>
          <w:rFonts w:hint="eastAsia" w:ascii="仿宋_GB2312" w:eastAsia="仿宋_GB2312"/>
          <w:color w:val="auto"/>
          <w:sz w:val="32"/>
          <w:szCs w:val="32"/>
          <w:highlight w:val="none"/>
        </w:rPr>
        <w:t>本次招考以《福建省</w:t>
      </w:r>
      <w:r>
        <w:rPr>
          <w:rFonts w:hint="eastAsia" w:ascii="仿宋_GB2312" w:eastAsia="仿宋_GB2312"/>
          <w:color w:val="auto"/>
          <w:sz w:val="32"/>
          <w:szCs w:val="32"/>
          <w:highlight w:val="none"/>
          <w:lang w:val="en-US" w:eastAsia="zh-CN"/>
        </w:rPr>
        <w:t>2026年度考试录用公务员</w:t>
      </w:r>
      <w:r>
        <w:rPr>
          <w:rFonts w:hint="eastAsia" w:ascii="仿宋_GB2312" w:eastAsia="仿宋_GB2312"/>
          <w:color w:val="auto"/>
          <w:sz w:val="32"/>
          <w:szCs w:val="32"/>
          <w:highlight w:val="none"/>
        </w:rPr>
        <w:t>专业指导目录》（文中简称《专业指导目录》）作为岗位专业条件设置和审核的依据。其他来源的专业指导目录不作为本次报考和审核的依据。</w:t>
      </w:r>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23" w:name="_Toc14751"/>
      <w:r>
        <w:rPr>
          <w:rFonts w:hint="eastAsia" w:ascii="楷体" w:hAnsi="楷体" w:eastAsia="楷体"/>
          <w:b/>
          <w:color w:val="auto"/>
          <w:sz w:val="32"/>
          <w:szCs w:val="32"/>
          <w:highlight w:val="none"/>
        </w:rPr>
        <w:t>（一）填报专业名称</w:t>
      </w:r>
      <w:bookmarkEnd w:id="23"/>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专业以毕业证书上注明的为准，报考者应</w:t>
      </w:r>
      <w:r>
        <w:rPr>
          <w:rFonts w:ascii="仿宋_GB2312" w:eastAsia="仿宋_GB2312"/>
          <w:b/>
          <w:bCs/>
          <w:color w:val="auto"/>
          <w:sz w:val="32"/>
          <w:szCs w:val="32"/>
          <w:highlight w:val="none"/>
        </w:rPr>
        <w:t>只字不差、如实填写</w:t>
      </w:r>
      <w:r>
        <w:rPr>
          <w:rFonts w:ascii="仿宋_GB2312" w:eastAsia="仿宋_GB2312"/>
          <w:color w:val="auto"/>
          <w:sz w:val="32"/>
          <w:szCs w:val="32"/>
          <w:highlight w:val="none"/>
        </w:rPr>
        <w:t>。</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若所学专业在招生和培养时有专业方向、但未在毕业证书上体现的，应先按照毕业证书上注明的专业填写，并在网络报名系统的考生信息表备注栏中说明，再按照</w:t>
      </w:r>
      <w:r>
        <w:rPr>
          <w:rFonts w:hint="eastAsia" w:ascii="仿宋_GB2312" w:eastAsia="仿宋_GB2312"/>
          <w:color w:val="auto"/>
          <w:sz w:val="32"/>
          <w:szCs w:val="32"/>
          <w:highlight w:val="none"/>
        </w:rPr>
        <w:t>招聘</w:t>
      </w:r>
      <w:r>
        <w:rPr>
          <w:rFonts w:ascii="仿宋_GB2312" w:eastAsia="仿宋_GB2312"/>
          <w:color w:val="auto"/>
          <w:sz w:val="32"/>
          <w:szCs w:val="32"/>
          <w:highlight w:val="none"/>
        </w:rPr>
        <w:t>单位要求提供学校教务部门出具的证明材料。</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以境外学历报考且专业名称为非汉语的，以教育部留学服务中心出具的相关证明为准。</w:t>
      </w:r>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24" w:name="_Toc28079"/>
      <w:r>
        <w:rPr>
          <w:rFonts w:hint="eastAsia" w:ascii="楷体" w:hAnsi="楷体" w:eastAsia="楷体"/>
          <w:b/>
          <w:color w:val="auto"/>
          <w:sz w:val="32"/>
          <w:szCs w:val="32"/>
          <w:highlight w:val="none"/>
        </w:rPr>
        <w:t>（二）专业与学历（位）的对应关系</w:t>
      </w:r>
      <w:bookmarkEnd w:id="24"/>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岗位所需专业与报考者的毕业证书专业应当一致：</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1.岗位所需专业与报考者的毕业证书专业应当一致，岗位资格条件要求的学历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原则上须为岗位所要求的专业对应的学历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及以上学历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，但报考者如果已符合岗位资格条件中最低学历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要求而持有岗位专业要求的同级或更高级学历或学位的，也可报考。</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例如，岗位要求本科学历、电气自动化专业。</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考生A：取得英语专业本科学历，后读取电气自动化专业硕士学位（单证，无学历），该考生可报考该岗位。</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考生B：取得英语专业本科学历，后攻读电气自动化专业硕士研究生（仅取得研究生学历未获硕士学位），该考生可报考该岗位。</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考生C：取得英语专业本科学历，辅修电气自动化专业取得学士学位，该考生可报考该岗位。</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考生D：取得英语专业本科学历，函授电气自动化专业取得本科学历，该考生可报考该岗位。</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考生E：取得电气自动化专业大专学历，专升本取得英语专业本科学历，该考生不能报考该岗位。</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考生F：取得英语专业本科学历，电气自动化专业肄业，该考生不能报考该岗位。</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2.岗位要求最低学历为研究生、硕士学位的，报考者如果已符合岗位资格条件中最低学历（位）要求而持有岗位专业要求的同级或更高级学历或学位的，也可报考，但本科阶段所学专业必须符合相应专业要求。</w:t>
      </w:r>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25" w:name="_Toc31891"/>
      <w:r>
        <w:rPr>
          <w:rFonts w:hint="eastAsia" w:ascii="楷体" w:hAnsi="楷体" w:eastAsia="楷体"/>
          <w:b/>
          <w:color w:val="auto"/>
          <w:sz w:val="32"/>
          <w:szCs w:val="32"/>
          <w:highlight w:val="none"/>
        </w:rPr>
        <w:t>（三）专业资格的认定</w:t>
      </w:r>
      <w:bookmarkEnd w:id="25"/>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将专业条件设置为“××类”的招聘岗位，报考者所学专业须符合《专业指导目录》中“××类”下所列专业；将专业条件设置为具体专业名称的，报考者所学专业须符合所列专业。</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若报考者所学专业不在《专业指导目录》中，报考者须提供学历证、学位证、主干课程成绩表、论文发表情况、学校证明等有效凭证，由招聘单位会同主管部门负责认定。报考者所学专业只字不差体现在《专业指导目录》中，但未列入招聘岗位所要求的专业，不得报考该岗位。</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经与招聘单位沟通，若报考者对专业资格审查结果仍有异议的，可在规定期限内及时通过“报名系统”的申诉通道提出申诉。</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outlineLvl w:val="0"/>
        <w:rPr>
          <w:rFonts w:ascii="黑体" w:hAnsi="黑体" w:eastAsia="黑体"/>
          <w:b w:val="0"/>
          <w:bCs w:val="0"/>
          <w:color w:val="auto"/>
          <w:sz w:val="32"/>
          <w:szCs w:val="32"/>
          <w:highlight w:val="none"/>
        </w:rPr>
      </w:pPr>
      <w:bookmarkStart w:id="26" w:name="_Toc24544"/>
      <w:r>
        <w:rPr>
          <w:rFonts w:hint="eastAsia" w:ascii="黑体" w:hAnsi="黑体" w:eastAsia="黑体" w:cs="黑体"/>
          <w:b w:val="0"/>
          <w:bCs w:val="0"/>
          <w:strike w:val="0"/>
          <w:dstrike w:val="0"/>
          <w:color w:val="auto"/>
          <w:kern w:val="2"/>
          <w:sz w:val="32"/>
          <w:szCs w:val="32"/>
          <w:lang w:val="en-US" w:eastAsia="zh-CN" w:bidi="ar-SA"/>
        </w:rPr>
        <w:t>七、</w:t>
      </w:r>
      <w:r>
        <w:rPr>
          <w:rFonts w:hint="eastAsia" w:ascii="黑体" w:hAnsi="黑体" w:eastAsia="黑体"/>
          <w:b w:val="0"/>
          <w:bCs w:val="0"/>
          <w:color w:val="auto"/>
          <w:sz w:val="32"/>
          <w:szCs w:val="32"/>
          <w:highlight w:val="none"/>
        </w:rPr>
        <w:t>工作经历（验）</w:t>
      </w:r>
      <w:bookmarkEnd w:id="26"/>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工作经历”是指在党政机关、事业单位、社团组织，各类企业和非公有制单位及农村工作的经历。自谋职业、个体经营、职业见习等灵活就业人员，也视为具有工作经历。退役士兵在军队服现役经历可视为工作经历。</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岗位资格条件要求的“专业工作经验”，应聘人员须提供养老保险缴费凭证或工资发放表等有效凭证、聘用</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劳动</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合同和所在单位出具的符合岗位条件要求的相关岗位的工作情况证明。全日制普通教育毕业生参加经人社部门核定的职业见习，若从事的工作与招聘岗位要求的专业工作经验相关，其毕业后的职业见习年限可视同工作经验年限。</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全日制普通教育期间的实习、社会实践经历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含兼职工作等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，不能视为工作经历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验</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岗位资格条件要求的工作经历（验）年限可以分段按月合并计算。不同单位的相同（似）工作经历（验）证明可分别开具，累计计算。</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outlineLvl w:val="0"/>
        <w:rPr>
          <w:rFonts w:ascii="黑体" w:hAnsi="黑体" w:eastAsia="黑体"/>
          <w:b w:val="0"/>
          <w:bCs w:val="0"/>
          <w:color w:val="auto"/>
          <w:sz w:val="32"/>
          <w:szCs w:val="32"/>
          <w:highlight w:val="none"/>
        </w:rPr>
      </w:pPr>
      <w:bookmarkStart w:id="27" w:name="_Toc4734"/>
      <w:r>
        <w:rPr>
          <w:rFonts w:hint="eastAsia" w:ascii="黑体" w:hAnsi="黑体" w:eastAsia="黑体" w:cs="黑体"/>
          <w:b w:val="0"/>
          <w:bCs w:val="0"/>
          <w:strike w:val="0"/>
          <w:dstrike w:val="0"/>
          <w:color w:val="auto"/>
          <w:kern w:val="2"/>
          <w:sz w:val="32"/>
          <w:szCs w:val="32"/>
          <w:lang w:val="en-US" w:eastAsia="zh-CN" w:bidi="ar-SA"/>
        </w:rPr>
        <w:t>八、</w:t>
      </w:r>
      <w:r>
        <w:rPr>
          <w:rFonts w:hint="eastAsia" w:ascii="黑体" w:hAnsi="黑体" w:eastAsia="黑体"/>
          <w:b w:val="0"/>
          <w:bCs w:val="0"/>
          <w:color w:val="auto"/>
          <w:sz w:val="32"/>
          <w:szCs w:val="32"/>
          <w:highlight w:val="none"/>
        </w:rPr>
        <w:t>岗位开考比例</w:t>
      </w:r>
      <w:bookmarkEnd w:id="27"/>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符合岗位资格条件的报名人数与岗位拟聘人数比例达不到3:1的，原则上应相应减少招聘人数或取消开考。</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按要求取消开考、减少招聘人数的岗位由招聘单位研究提出意见报主管部门后在</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厦门技师学院官网通知公告栏</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olor w:val="auto"/>
          <w:sz w:val="32"/>
          <w:szCs w:val="32"/>
          <w:highlight w:val="none"/>
        </w:rPr>
        <w:t>另行公告。情况特殊确需降低开考比例的岗位，由招聘单位研究提出意见报</w:t>
      </w:r>
      <w:r>
        <w:rPr>
          <w:rFonts w:hint="eastAsia" w:ascii="仿宋_GB2312" w:eastAsia="仿宋_GB2312"/>
          <w:color w:val="auto"/>
          <w:sz w:val="32"/>
          <w:szCs w:val="32"/>
          <w:highlight w:val="none"/>
          <w:lang w:val="en-US" w:eastAsia="zh-CN"/>
        </w:rPr>
        <w:t>市事业单位人事管理综合部门</w:t>
      </w:r>
      <w:r>
        <w:rPr>
          <w:rFonts w:hint="eastAsia" w:ascii="仿宋_GB2312" w:eastAsia="仿宋_GB2312"/>
          <w:color w:val="auto"/>
          <w:sz w:val="32"/>
          <w:szCs w:val="32"/>
          <w:highlight w:val="none"/>
        </w:rPr>
        <w:t>研究后在</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厦门技师学院官网通知公告栏</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olor w:val="auto"/>
          <w:sz w:val="32"/>
          <w:szCs w:val="32"/>
          <w:highlight w:val="none"/>
        </w:rPr>
        <w:t>另行公告。</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outlineLvl w:val="0"/>
        <w:rPr>
          <w:rFonts w:ascii="黑体" w:hAnsi="黑体" w:eastAsia="黑体"/>
          <w:b w:val="0"/>
          <w:bCs w:val="0"/>
          <w:color w:val="auto"/>
          <w:sz w:val="32"/>
          <w:szCs w:val="32"/>
          <w:highlight w:val="none"/>
        </w:rPr>
      </w:pPr>
      <w:bookmarkStart w:id="28" w:name="_Toc32704"/>
      <w:r>
        <w:rPr>
          <w:rFonts w:hint="eastAsia" w:ascii="黑体" w:hAnsi="黑体" w:eastAsia="黑体" w:cs="黑体"/>
          <w:b w:val="0"/>
          <w:bCs w:val="0"/>
          <w:strike w:val="0"/>
          <w:dstrike w:val="0"/>
          <w:color w:val="auto"/>
          <w:kern w:val="2"/>
          <w:sz w:val="32"/>
          <w:szCs w:val="32"/>
          <w:lang w:val="en-US" w:eastAsia="zh-CN" w:bidi="ar-SA"/>
        </w:rPr>
        <w:t>九、</w:t>
      </w:r>
      <w:r>
        <w:rPr>
          <w:rFonts w:hint="eastAsia" w:ascii="黑体" w:hAnsi="黑体" w:eastAsia="黑体"/>
          <w:b w:val="0"/>
          <w:bCs w:val="0"/>
          <w:color w:val="auto"/>
          <w:sz w:val="32"/>
          <w:szCs w:val="32"/>
          <w:highlight w:val="none"/>
        </w:rPr>
        <w:t>笔试加分</w:t>
      </w:r>
      <w:bookmarkEnd w:id="28"/>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cs="楷体"/>
          <w:b/>
          <w:bCs/>
          <w:color w:val="auto"/>
          <w:sz w:val="32"/>
          <w:szCs w:val="32"/>
          <w:highlight w:val="none"/>
        </w:rPr>
      </w:pPr>
      <w:bookmarkStart w:id="29" w:name="_Toc6296"/>
      <w:r>
        <w:rPr>
          <w:rFonts w:hint="eastAsia" w:ascii="楷体" w:hAnsi="楷体" w:eastAsia="楷体" w:cs="楷体"/>
          <w:b/>
          <w:bCs/>
          <w:color w:val="auto"/>
          <w:sz w:val="32"/>
          <w:szCs w:val="32"/>
          <w:highlight w:val="none"/>
        </w:rPr>
        <w:t>（一）加分原则</w:t>
      </w:r>
      <w:bookmarkEnd w:id="29"/>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笔试成绩=笔试卷面分+各项加分。</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加分仅限于笔试卷面分。加分不受笔试满分限制。</w:t>
      </w:r>
      <w:r>
        <w:rPr>
          <w:rFonts w:hint="eastAsia" w:ascii="仿宋_GB2312" w:eastAsia="仿宋_GB2312"/>
          <w:b/>
          <w:bCs/>
          <w:color w:val="auto"/>
          <w:sz w:val="32"/>
          <w:szCs w:val="32"/>
          <w:highlight w:val="none"/>
        </w:rPr>
        <w:t>各项加分可累计计算，但累计最高不超过10分。</w:t>
      </w:r>
      <w:r>
        <w:rPr>
          <w:rFonts w:hint="eastAsia" w:ascii="仿宋_GB2312" w:eastAsia="仿宋_GB2312"/>
          <w:color w:val="auto"/>
          <w:sz w:val="32"/>
          <w:szCs w:val="32"/>
          <w:highlight w:val="none"/>
        </w:rPr>
        <w:t>曾通过享受政策待遇被录（聘）为公务员或事业单位编内工作人员的，不再享受报考事业单位加分和专门岗位招考优惠政策。</w:t>
      </w:r>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cs="楷体"/>
          <w:b/>
          <w:bCs/>
          <w:color w:val="auto"/>
          <w:sz w:val="32"/>
          <w:szCs w:val="32"/>
          <w:highlight w:val="none"/>
        </w:rPr>
      </w:pPr>
      <w:bookmarkStart w:id="30" w:name="_Toc7269"/>
      <w:r>
        <w:rPr>
          <w:rFonts w:hint="eastAsia" w:ascii="楷体" w:hAnsi="楷体" w:eastAsia="楷体" w:cs="楷体"/>
          <w:b/>
          <w:bCs/>
          <w:color w:val="auto"/>
          <w:sz w:val="32"/>
          <w:szCs w:val="32"/>
          <w:highlight w:val="none"/>
        </w:rPr>
        <w:t>（二）加分对象</w:t>
      </w:r>
      <w:bookmarkEnd w:id="30"/>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strike/>
          <w:color w:val="auto"/>
          <w:sz w:val="32"/>
          <w:szCs w:val="32"/>
          <w:highlight w:val="none"/>
        </w:rPr>
      </w:pPr>
      <w:r>
        <w:rPr>
          <w:rFonts w:hint="eastAsia" w:ascii="仿宋_GB2312" w:eastAsia="仿宋_GB2312"/>
          <w:color w:val="auto"/>
          <w:sz w:val="32"/>
          <w:szCs w:val="32"/>
          <w:highlight w:val="none"/>
        </w:rPr>
        <w:t>经报名资格审核通过并符合以下加分政策的报考人员可享受笔试加分待遇：</w:t>
      </w:r>
    </w:p>
    <w:p>
      <w:pPr>
        <w:keepNext w:val="0"/>
        <w:keepLines w:val="0"/>
        <w:pageBreakBefore w:val="0"/>
        <w:kinsoku/>
        <w:overflowPunct/>
        <w:topLinePunct w:val="0"/>
        <w:autoSpaceDE/>
        <w:autoSpaceDN/>
        <w:bidi w:val="0"/>
        <w:spacing w:line="560" w:lineRule="exact"/>
        <w:ind w:firstLine="643" w:firstLineChars="200"/>
        <w:textAlignment w:val="auto"/>
        <w:outlineLvl w:val="2"/>
        <w:rPr>
          <w:rFonts w:ascii="仿宋_GB2312" w:hAnsi="仿宋_GB2312" w:eastAsia="仿宋_GB2312" w:cs="仿宋_GB2312"/>
          <w:b/>
          <w:bCs/>
          <w:color w:val="auto"/>
          <w:sz w:val="32"/>
          <w:szCs w:val="32"/>
          <w:highlight w:val="none"/>
        </w:rPr>
      </w:pPr>
      <w:bookmarkStart w:id="31" w:name="_Toc9098"/>
      <w:bookmarkStart w:id="32" w:name="_Toc10848"/>
      <w:bookmarkStart w:id="33" w:name="_Toc17898"/>
      <w:bookmarkStart w:id="34" w:name="_Toc13976"/>
      <w:bookmarkStart w:id="35" w:name="_Toc15632"/>
      <w:bookmarkStart w:id="36" w:name="_Toc5486"/>
      <w:r>
        <w:rPr>
          <w:rFonts w:hint="eastAsia" w:ascii="仿宋_GB2312" w:hAnsi="仿宋_GB2312" w:eastAsia="仿宋_GB2312" w:cs="仿宋_GB2312"/>
          <w:b/>
          <w:bCs/>
          <w:color w:val="auto"/>
          <w:sz w:val="32"/>
          <w:szCs w:val="32"/>
          <w:highlight w:val="none"/>
        </w:rPr>
        <w:t>1.服务基层项目高校毕业人员</w:t>
      </w:r>
      <w:bookmarkEnd w:id="31"/>
      <w:bookmarkEnd w:id="32"/>
      <w:bookmarkEnd w:id="33"/>
      <w:bookmarkEnd w:id="34"/>
      <w:bookmarkEnd w:id="35"/>
      <w:bookmarkEnd w:id="36"/>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参加国家和福建省组织实施的“三支一扶”计划、“志愿服务西部计划”（含研究生支教团）、“志愿服务欠发达地区计划”、“服务社区计划”等，服务期限为1年及以上且于202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 xml:space="preserve">月31日前期满考核合格的福建户籍或福建生源高校毕业人员：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当年服务行将期满考核合格和服务期满考核合格的“乡村振兴计划”大学生志愿者，报考市属事业单位笔试卷面分加3分，报考区属事业单位笔试卷面分加5分。</w:t>
      </w:r>
    </w:p>
    <w:p>
      <w:pPr>
        <w:keepNext w:val="0"/>
        <w:keepLines w:val="0"/>
        <w:pageBreakBefore w:val="0"/>
        <w:kinsoku/>
        <w:overflowPunct/>
        <w:topLinePunct w:val="0"/>
        <w:autoSpaceDE/>
        <w:autoSpaceDN/>
        <w:bidi w:val="0"/>
        <w:spacing w:line="560" w:lineRule="exact"/>
        <w:ind w:firstLine="643" w:firstLineChars="200"/>
        <w:textAlignment w:val="auto"/>
        <w:outlineLvl w:val="2"/>
        <w:rPr>
          <w:rFonts w:ascii="仿宋_GB2312" w:hAnsi="仿宋_GB2312" w:eastAsia="仿宋_GB2312" w:cs="仿宋_GB2312"/>
          <w:b/>
          <w:bCs/>
          <w:color w:val="auto"/>
          <w:sz w:val="32"/>
          <w:szCs w:val="32"/>
          <w:highlight w:val="none"/>
        </w:rPr>
      </w:pPr>
      <w:bookmarkStart w:id="37" w:name="_Toc22049"/>
      <w:bookmarkStart w:id="38" w:name="_Toc24980"/>
      <w:bookmarkStart w:id="39" w:name="_Toc12368"/>
      <w:bookmarkStart w:id="40" w:name="_Toc3761"/>
      <w:bookmarkStart w:id="41" w:name="_Toc1747"/>
      <w:bookmarkStart w:id="42" w:name="_Toc3463"/>
      <w:r>
        <w:rPr>
          <w:rFonts w:hint="eastAsia" w:ascii="仿宋_GB2312" w:hAnsi="仿宋_GB2312" w:eastAsia="仿宋_GB2312" w:cs="仿宋_GB2312"/>
          <w:b/>
          <w:bCs/>
          <w:color w:val="auto"/>
          <w:sz w:val="32"/>
          <w:szCs w:val="32"/>
          <w:highlight w:val="none"/>
        </w:rPr>
        <w:t>2.退役士兵（含大学生退役士兵）</w:t>
      </w:r>
      <w:bookmarkEnd w:id="37"/>
      <w:bookmarkEnd w:id="38"/>
      <w:bookmarkEnd w:id="39"/>
      <w:bookmarkEnd w:id="40"/>
      <w:bookmarkEnd w:id="41"/>
      <w:bookmarkEnd w:id="42"/>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由福建省兵役机关批准入伍或福建生源的退役士兵（在福建省外应征入伍，但已于报名截止日前取得福建户籍的可参照），可享受以下笔试卷面分加分：服役满13年以上的加8分;服役满9年至12年的加6分;服役满6年至8年的加4分;服役满3年至5年的加2分;荣立二等功及以上的另加3分/次;荣立三等功的另加2分/次;获得优秀士官或优秀士兵或优秀义务兵荣誉称号的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keepNext w:val="0"/>
        <w:keepLines w:val="0"/>
        <w:pageBreakBefore w:val="0"/>
        <w:kinsoku/>
        <w:overflowPunct/>
        <w:topLinePunct w:val="0"/>
        <w:autoSpaceDE/>
        <w:autoSpaceDN/>
        <w:bidi w:val="0"/>
        <w:spacing w:line="560" w:lineRule="exact"/>
        <w:ind w:firstLine="643" w:firstLineChars="200"/>
        <w:textAlignment w:val="auto"/>
        <w:outlineLvl w:val="2"/>
        <w:rPr>
          <w:rFonts w:ascii="仿宋_GB2312" w:hAnsi="仿宋_GB2312" w:eastAsia="仿宋_GB2312" w:cs="仿宋_GB2312"/>
          <w:b/>
          <w:bCs/>
          <w:color w:val="auto"/>
          <w:sz w:val="32"/>
          <w:szCs w:val="32"/>
          <w:highlight w:val="none"/>
        </w:rPr>
      </w:pPr>
      <w:bookmarkStart w:id="43" w:name="_Toc31915"/>
      <w:bookmarkStart w:id="44" w:name="_Toc24767"/>
      <w:bookmarkStart w:id="45" w:name="_Toc5502"/>
      <w:bookmarkStart w:id="46" w:name="_Toc15434"/>
      <w:r>
        <w:rPr>
          <w:rFonts w:hint="eastAsia" w:ascii="仿宋_GB2312" w:hAnsi="仿宋_GB2312" w:eastAsia="仿宋_GB2312" w:cs="仿宋_GB2312"/>
          <w:b/>
          <w:bCs/>
          <w:color w:val="auto"/>
          <w:sz w:val="32"/>
          <w:szCs w:val="32"/>
          <w:highlight w:val="none"/>
        </w:rPr>
        <w:t>3.退役优秀运动员</w:t>
      </w:r>
      <w:bookmarkEnd w:id="43"/>
      <w:bookmarkEnd w:id="44"/>
      <w:bookmarkEnd w:id="45"/>
      <w:bookmarkEnd w:id="46"/>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厦门市退役优秀运动员，可享受以下笔试卷面分加分:曾获得世界体育三大比赛（奥运会、世锦赛、世界杯）第2-6名，亚洲体育三大比赛（亚运会、亚锦赛、亚洲杯）或全运会第2、3名，全国锦标赛、全国冠军赛或篮球、排球、足球全国职业联赛第1名的运动员，加9分；获得省运动会冠军，全国锦标赛、冠军赛或篮球、排球、足球全国职业联赛第2、3名，亚洲体育三大比赛（亚运会、亚锦赛、亚洲杯）第4至第6名的运动员，加7分。</w:t>
      </w:r>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cs="楷体"/>
          <w:b/>
          <w:bCs/>
          <w:color w:val="auto"/>
          <w:sz w:val="32"/>
          <w:szCs w:val="32"/>
          <w:highlight w:val="none"/>
        </w:rPr>
      </w:pPr>
      <w:bookmarkStart w:id="47" w:name="_Toc12354"/>
      <w:bookmarkStart w:id="48" w:name="_Toc30306"/>
      <w:r>
        <w:rPr>
          <w:rFonts w:hint="eastAsia" w:ascii="楷体" w:hAnsi="楷体" w:eastAsia="楷体" w:cs="楷体"/>
          <w:b/>
          <w:bCs/>
          <w:color w:val="auto"/>
          <w:sz w:val="32"/>
          <w:szCs w:val="32"/>
          <w:highlight w:val="none"/>
        </w:rPr>
        <w:t>（三）加分证明材料</w:t>
      </w:r>
      <w:bookmarkEnd w:id="47"/>
      <w:bookmarkEnd w:id="48"/>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符合加分政策的报考人员须在网上报名时如实填报，并于报名期间主动向招聘单位沟通提交以下加分证明材料（提交方式请与招聘单位联系人联系），否则视为放弃享受加分政策：</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1.服务基层项目毕业生须提交组织实施相应项目的机构出具的服务基层期满考核合格证书（或服务期满考核合格材料），以及福建户籍或福建生源证明材料。</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3.符合加分政策的我市退役优秀运动员可持相应奖项证书前往厦门市体育局人事处开具证明材料</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联系电话0592-5339322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outlineLvl w:val="0"/>
        <w:rPr>
          <w:rFonts w:ascii="黑体" w:hAnsi="黑体" w:eastAsia="黑体"/>
          <w:b w:val="0"/>
          <w:bCs w:val="0"/>
          <w:color w:val="auto"/>
          <w:sz w:val="32"/>
          <w:szCs w:val="32"/>
          <w:highlight w:val="none"/>
        </w:rPr>
      </w:pPr>
      <w:bookmarkStart w:id="49" w:name="_Toc13089"/>
      <w:r>
        <w:rPr>
          <w:rFonts w:hint="eastAsia" w:ascii="黑体" w:hAnsi="黑体" w:eastAsia="黑体" w:cs="黑体"/>
          <w:b w:val="0"/>
          <w:bCs w:val="0"/>
          <w:strike w:val="0"/>
          <w:dstrike w:val="0"/>
          <w:color w:val="auto"/>
          <w:kern w:val="2"/>
          <w:sz w:val="32"/>
          <w:szCs w:val="32"/>
          <w:lang w:val="en-US" w:eastAsia="zh-CN" w:bidi="ar-SA"/>
        </w:rPr>
        <w:t>十、</w:t>
      </w:r>
      <w:r>
        <w:rPr>
          <w:rFonts w:hint="eastAsia" w:ascii="黑体" w:hAnsi="黑体" w:eastAsia="黑体"/>
          <w:b w:val="0"/>
          <w:bCs w:val="0"/>
          <w:color w:val="auto"/>
          <w:sz w:val="32"/>
          <w:szCs w:val="32"/>
          <w:highlight w:val="none"/>
        </w:rPr>
        <w:t>综合总分计算</w:t>
      </w:r>
      <w:bookmarkEnd w:id="49"/>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笔试、面试合格线均为60分。综合总分为100分，具体计算公式为：</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综合总分=笔试成绩×40%+面试成绩×60%。</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笔试成绩、面试成绩、综合总分均采用四舍五入方式取小数点后2位（必要时可增加小数点位数）。对于综合总分相同者，按以下顺序进一步确定名次排列：</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outlineLvl w:val="0"/>
        <w:rPr>
          <w:rFonts w:hint="eastAsia" w:ascii="仿宋_GB2312" w:eastAsia="仿宋_GB2312"/>
          <w:color w:val="auto"/>
          <w:sz w:val="32"/>
          <w:szCs w:val="32"/>
          <w:highlight w:val="none"/>
        </w:rPr>
      </w:pPr>
      <w:bookmarkStart w:id="50" w:name="_Toc20224"/>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按面试成绩从高到低排列；  </w:t>
      </w:r>
      <w:bookmarkEnd w:id="50"/>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outlineLvl w:val="0"/>
        <w:rPr>
          <w:rFonts w:hint="eastAsia" w:ascii="仿宋_GB2312" w:eastAsia="仿宋_GB2312"/>
          <w:color w:val="auto"/>
          <w:sz w:val="32"/>
          <w:szCs w:val="32"/>
          <w:highlight w:val="none"/>
        </w:rPr>
      </w:pPr>
      <w:bookmarkStart w:id="51" w:name="_Toc25564"/>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二</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若面试成绩依然相同，按笔试实际成绩（追溯小数点位数）从高到低排列；  </w:t>
      </w:r>
      <w:bookmarkEnd w:id="51"/>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outlineLvl w:val="0"/>
        <w:rPr>
          <w:rFonts w:hint="eastAsia" w:ascii="仿宋_GB2312" w:eastAsia="仿宋_GB2312"/>
          <w:color w:val="auto"/>
          <w:sz w:val="32"/>
          <w:szCs w:val="32"/>
          <w:highlight w:val="none"/>
        </w:rPr>
      </w:pPr>
      <w:bookmarkStart w:id="52" w:name="_Toc10764"/>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若笔试成绩依然相同，符合国家、福建省或厦门市文件规定优先对象的，优先进入体检环节。若无优先对象，由面试组织部门当场组织加试1道综合分析题，取加试成绩高分者进入体检环节。</w:t>
      </w:r>
      <w:bookmarkEnd w:id="52"/>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outlineLvl w:val="0"/>
        <w:rPr>
          <w:rFonts w:ascii="黑体" w:hAnsi="黑体" w:eastAsia="黑体"/>
          <w:b w:val="0"/>
          <w:bCs w:val="0"/>
          <w:color w:val="auto"/>
          <w:sz w:val="32"/>
          <w:szCs w:val="32"/>
          <w:highlight w:val="none"/>
        </w:rPr>
      </w:pPr>
      <w:bookmarkStart w:id="53" w:name="_Toc20133"/>
      <w:r>
        <w:rPr>
          <w:rFonts w:hint="eastAsia" w:ascii="黑体" w:hAnsi="黑体" w:eastAsia="黑体" w:cs="黑体"/>
          <w:b w:val="0"/>
          <w:bCs w:val="0"/>
          <w:strike w:val="0"/>
          <w:dstrike w:val="0"/>
          <w:color w:val="auto"/>
          <w:kern w:val="2"/>
          <w:sz w:val="32"/>
          <w:szCs w:val="32"/>
          <w:lang w:val="en-US" w:eastAsia="zh-CN" w:bidi="ar-SA"/>
        </w:rPr>
        <w:t>十一、</w:t>
      </w:r>
      <w:r>
        <w:rPr>
          <w:rFonts w:hint="eastAsia" w:ascii="黑体" w:hAnsi="黑体" w:eastAsia="黑体"/>
          <w:b w:val="0"/>
          <w:bCs w:val="0"/>
          <w:color w:val="auto"/>
          <w:sz w:val="32"/>
          <w:szCs w:val="32"/>
          <w:highlight w:val="none"/>
        </w:rPr>
        <w:t>体检和考察</w:t>
      </w:r>
      <w:bookmarkEnd w:id="53"/>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54" w:name="_Toc11023"/>
      <w:r>
        <w:rPr>
          <w:rFonts w:hint="eastAsia" w:ascii="楷体" w:hAnsi="楷体" w:eastAsia="楷体"/>
          <w:b/>
          <w:color w:val="auto"/>
          <w:sz w:val="32"/>
          <w:szCs w:val="32"/>
          <w:highlight w:val="none"/>
        </w:rPr>
        <w:t>（一）确定体检人选</w:t>
      </w:r>
      <w:bookmarkEnd w:id="54"/>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从笔试、面试成绩和综合总分均合格者中，根据综合总分排名顺序，按岗位拟招聘人数1:1的比例从高分</w:t>
      </w:r>
      <w:r>
        <w:rPr>
          <w:rFonts w:hint="eastAsia" w:ascii="仿宋_GB2312" w:eastAsia="仿宋_GB2312"/>
          <w:color w:val="auto"/>
          <w:sz w:val="32"/>
          <w:szCs w:val="32"/>
          <w:highlight w:val="none"/>
          <w:lang w:val="en-US" w:eastAsia="zh-CN"/>
        </w:rPr>
        <w:t>到</w:t>
      </w:r>
      <w:r>
        <w:rPr>
          <w:rFonts w:hint="eastAsia" w:ascii="仿宋_GB2312" w:eastAsia="仿宋_GB2312"/>
          <w:color w:val="auto"/>
          <w:sz w:val="32"/>
          <w:szCs w:val="32"/>
          <w:highlight w:val="none"/>
        </w:rPr>
        <w:t>低分确定体检人选。</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体检对象属于机关事业单位在编人员或国有企业在职人员的，应于体检前向招聘单位主管部门提交同意报考材料（包括同意报考证明或同意辞职证明或同意解除聘用、劳动合同证明）。其中，机关事业单位在编人员应按干部管理权限提交属地组织人事部门或主管部门出具的同意报考材料；国有企业在职人员须提交所在单位出具的同意报考材料。</w:t>
      </w:r>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55" w:name="_Toc26651"/>
      <w:r>
        <w:rPr>
          <w:rFonts w:hint="eastAsia" w:ascii="楷体" w:hAnsi="楷体" w:eastAsia="楷体"/>
          <w:b/>
          <w:color w:val="auto"/>
          <w:sz w:val="32"/>
          <w:szCs w:val="32"/>
          <w:highlight w:val="none"/>
        </w:rPr>
        <w:t>（二）组织体检</w:t>
      </w:r>
      <w:bookmarkEnd w:id="55"/>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根据《关于印发福建省公务员录用体检医院名单的通知》（闽委组通〔2023〕42号）文件精神，由招聘单位及其主管部门负责组织前往指定医院进行体检。</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体检人员应根据通知按时参加并配合体检，否则，视为放弃资格。</w:t>
      </w:r>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56" w:name="_Toc26444"/>
      <w:r>
        <w:rPr>
          <w:rFonts w:hint="eastAsia" w:ascii="楷体" w:hAnsi="楷体" w:eastAsia="楷体"/>
          <w:b/>
          <w:color w:val="auto"/>
          <w:sz w:val="32"/>
          <w:szCs w:val="32"/>
          <w:highlight w:val="none"/>
        </w:rPr>
        <w:t>（三）体检依据</w:t>
      </w:r>
      <w:bookmarkEnd w:id="56"/>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本次招聘体检参照公务员录用体检标准执行（岗位对身体条件另有要求的，还须符合相应项目规定的标准）。</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体检医院由招聘单位和主管部门根据要求指定。具体检测方法由体检医院结合实际确定，体检结论以体检医院出具的体检报告为准。</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体（复）检费用个人自理。</w:t>
      </w:r>
      <w:r>
        <w:rPr>
          <w:rFonts w:ascii="仿宋_GB2312" w:hAnsi="宋体" w:eastAsia="仿宋_GB2312"/>
          <w:color w:val="auto"/>
          <w:sz w:val="32"/>
          <w:szCs w:val="32"/>
          <w:highlight w:val="none"/>
        </w:rPr>
        <w:t>参加体检人员对体检结果有疑问的，可在得知体检结果的7日内向</w:t>
      </w:r>
      <w:r>
        <w:rPr>
          <w:rFonts w:hint="eastAsia" w:ascii="仿宋_GB2312" w:hAnsi="宋体" w:eastAsia="仿宋_GB2312"/>
          <w:color w:val="auto"/>
          <w:sz w:val="32"/>
          <w:szCs w:val="32"/>
          <w:highlight w:val="none"/>
        </w:rPr>
        <w:t>招聘</w:t>
      </w:r>
      <w:r>
        <w:rPr>
          <w:rFonts w:ascii="仿宋_GB2312" w:hAnsi="宋体" w:eastAsia="仿宋_GB2312"/>
          <w:color w:val="auto"/>
          <w:sz w:val="32"/>
          <w:szCs w:val="32"/>
          <w:highlight w:val="none"/>
        </w:rPr>
        <w:t>单位提出复检申请，</w:t>
      </w:r>
      <w:r>
        <w:rPr>
          <w:rFonts w:ascii="仿宋_GB2312" w:eastAsia="仿宋_GB2312"/>
          <w:color w:val="auto"/>
          <w:sz w:val="32"/>
          <w:szCs w:val="32"/>
          <w:highlight w:val="none"/>
        </w:rPr>
        <w:t>复检只能进行一次，由</w:t>
      </w:r>
      <w:r>
        <w:rPr>
          <w:rFonts w:hint="eastAsia" w:ascii="仿宋_GB2312" w:eastAsia="仿宋_GB2312"/>
          <w:color w:val="auto"/>
          <w:sz w:val="32"/>
          <w:szCs w:val="32"/>
          <w:highlight w:val="none"/>
        </w:rPr>
        <w:t>招聘</w:t>
      </w:r>
      <w:r>
        <w:rPr>
          <w:rFonts w:ascii="仿宋_GB2312" w:eastAsia="仿宋_GB2312"/>
          <w:color w:val="auto"/>
          <w:sz w:val="32"/>
          <w:szCs w:val="32"/>
          <w:highlight w:val="none"/>
        </w:rPr>
        <w:t>单位组织到</w:t>
      </w:r>
      <w:r>
        <w:rPr>
          <w:rFonts w:hint="eastAsia" w:ascii="仿宋_GB2312" w:eastAsia="仿宋_GB2312"/>
          <w:color w:val="auto"/>
          <w:sz w:val="32"/>
          <w:szCs w:val="32"/>
          <w:highlight w:val="none"/>
          <w:lang w:val="en-US" w:eastAsia="zh-CN"/>
        </w:rPr>
        <w:t>规定</w:t>
      </w:r>
      <w:r>
        <w:rPr>
          <w:rFonts w:ascii="仿宋_GB2312" w:eastAsia="仿宋_GB2312"/>
          <w:color w:val="auto"/>
          <w:sz w:val="32"/>
          <w:szCs w:val="32"/>
          <w:highlight w:val="none"/>
        </w:rPr>
        <w:t>医院复检，体检结论以复检的结果为准。</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体检人员应按时参加并配合体检，不按时参加体检者，视为自动放弃聘用资格。体检不合格的不予聘用。</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凡在体检中弄虚作假或隐瞒真实情况的报考者，不予聘用或取消聘用。</w:t>
      </w:r>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57" w:name="_Toc32558"/>
      <w:r>
        <w:rPr>
          <w:rFonts w:hint="eastAsia" w:ascii="楷体" w:hAnsi="楷体" w:eastAsia="楷体"/>
          <w:b/>
          <w:color w:val="auto"/>
          <w:sz w:val="32"/>
          <w:szCs w:val="32"/>
          <w:highlight w:val="none"/>
        </w:rPr>
        <w:t>（四）可延迟体检的情形</w:t>
      </w:r>
      <w:bookmarkEnd w:id="57"/>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bookmarkStart w:id="58" w:name="_Toc1064617349"/>
      <w:bookmarkStart w:id="59" w:name="_Toc167888914"/>
      <w:bookmarkStart w:id="60" w:name="_Toc5902"/>
      <w:bookmarkStart w:id="61" w:name="_Toc14893"/>
      <w:r>
        <w:rPr>
          <w:rFonts w:hint="eastAsia" w:ascii="仿宋_GB2312" w:eastAsia="仿宋_GB2312"/>
          <w:color w:val="auto"/>
          <w:sz w:val="32"/>
          <w:szCs w:val="32"/>
          <w:highlight w:val="none"/>
        </w:rPr>
        <w:t>女性报考者因怀孕不能进入体检的，招聘单位及其主管部门应对其延期体检，并与报考者约定延缓体检的最长期限。</w:t>
      </w:r>
      <w:bookmarkEnd w:id="58"/>
      <w:bookmarkEnd w:id="59"/>
      <w:bookmarkEnd w:id="60"/>
      <w:bookmarkEnd w:id="61"/>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62" w:name="_Toc3541"/>
      <w:r>
        <w:rPr>
          <w:rFonts w:hint="eastAsia" w:ascii="楷体" w:hAnsi="楷体" w:eastAsia="楷体"/>
          <w:b/>
          <w:color w:val="auto"/>
          <w:sz w:val="32"/>
          <w:szCs w:val="32"/>
          <w:highlight w:val="none"/>
        </w:rPr>
        <w:t>（五）考察</w:t>
      </w:r>
      <w:bookmarkEnd w:id="62"/>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对体检合格的报考人员，由招聘单位会同主管部门组织对其政治思想、道德品质、廉洁自律、能力素质、工作态度（学习态度）、工作业绩（学业情况）以及是否需要回避等内容进行考察，并对报考人员资格条件再次进行审核。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考察工作前，通过中国执行信息公开网（http://zxgk.court.gov.cn/）核实考察对象有无失信被执行的情况。被依法列为失信联合惩戒对象的，不得报考</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取消报考（聘用）资格。</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outlineLvl w:val="0"/>
        <w:rPr>
          <w:rFonts w:ascii="黑体" w:hAnsi="黑体" w:eastAsia="黑体"/>
          <w:b w:val="0"/>
          <w:bCs w:val="0"/>
          <w:color w:val="auto"/>
          <w:sz w:val="32"/>
          <w:szCs w:val="32"/>
          <w:highlight w:val="none"/>
        </w:rPr>
      </w:pPr>
      <w:bookmarkStart w:id="63" w:name="_Toc23270"/>
      <w:r>
        <w:rPr>
          <w:rFonts w:hint="eastAsia" w:ascii="黑体" w:hAnsi="黑体" w:eastAsia="黑体" w:cs="黑体"/>
          <w:b w:val="0"/>
          <w:bCs w:val="0"/>
          <w:strike w:val="0"/>
          <w:dstrike w:val="0"/>
          <w:color w:val="auto"/>
          <w:kern w:val="2"/>
          <w:sz w:val="32"/>
          <w:szCs w:val="32"/>
          <w:lang w:val="en-US" w:eastAsia="zh-CN" w:bidi="ar-SA"/>
        </w:rPr>
        <w:t>十二、</w:t>
      </w:r>
      <w:r>
        <w:rPr>
          <w:rFonts w:hint="eastAsia" w:ascii="黑体" w:hAnsi="黑体" w:eastAsia="黑体"/>
          <w:b w:val="0"/>
          <w:bCs w:val="0"/>
          <w:color w:val="auto"/>
          <w:sz w:val="32"/>
          <w:szCs w:val="32"/>
          <w:highlight w:val="none"/>
        </w:rPr>
        <w:t>公示</w:t>
      </w:r>
      <w:bookmarkEnd w:id="6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宋体" w:cs="宋体"/>
          <w:color w:val="auto"/>
          <w:sz w:val="24"/>
          <w:szCs w:val="24"/>
          <w:highlight w:val="none"/>
        </w:rPr>
      </w:pPr>
      <w:r>
        <w:rPr>
          <w:rFonts w:hint="eastAsia" w:ascii="仿宋_GB2312" w:eastAsia="仿宋_GB2312"/>
          <w:color w:val="auto"/>
          <w:sz w:val="32"/>
          <w:szCs w:val="32"/>
          <w:highlight w:val="none"/>
        </w:rPr>
        <w:t>根据岗位要求以及考试、体检、考察结果，确定拟聘用人员名单，拟聘人选在厦门市人力资源和社会保障局网站（</w:t>
      </w:r>
      <w:r>
        <w:rPr>
          <w:rFonts w:ascii="仿宋_GB2312" w:eastAsia="仿宋_GB2312"/>
          <w:color w:val="auto"/>
          <w:sz w:val="32"/>
          <w:szCs w:val="32"/>
          <w:highlight w:val="none"/>
        </w:rPr>
        <w:t>https://app.hrss.xm.gov.cn/syzp/v3/</w:t>
      </w:r>
      <w:r>
        <w:rPr>
          <w:rFonts w:hint="eastAsia" w:ascii="仿宋_GB2312" w:eastAsia="仿宋_GB2312"/>
          <w:color w:val="auto"/>
          <w:sz w:val="32"/>
          <w:szCs w:val="32"/>
          <w:highlight w:val="none"/>
        </w:rPr>
        <w:t>）、</w:t>
      </w:r>
      <w:r>
        <w:rPr>
          <w:rFonts w:ascii="仿宋_GB2312" w:eastAsia="仿宋_GB2312"/>
          <w:color w:val="auto"/>
          <w:sz w:val="32"/>
          <w:szCs w:val="32"/>
          <w:highlight w:val="none"/>
        </w:rPr>
        <w:t>厦门技师学院官网通知公告栏（网址：https://www.xmjsxy.com/）</w:t>
      </w:r>
      <w:r>
        <w:rPr>
          <w:rFonts w:hint="eastAsia" w:ascii="仿宋_GB2312" w:eastAsia="仿宋_GB2312"/>
          <w:color w:val="auto"/>
          <w:sz w:val="32"/>
          <w:szCs w:val="32"/>
          <w:highlight w:val="none"/>
        </w:rPr>
        <w:t>上公示</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对202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届高校毕业生、服务基层项目高校毕业生等未取得有关证书的人员可先予以公示，在规定时限内（详见《报考须知》）提供相应证书后，再办理聘用手续。</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outlineLvl w:val="0"/>
        <w:rPr>
          <w:rFonts w:ascii="黑体" w:hAnsi="黑体" w:eastAsia="黑体"/>
          <w:b w:val="0"/>
          <w:bCs w:val="0"/>
          <w:color w:val="auto"/>
          <w:sz w:val="32"/>
          <w:szCs w:val="32"/>
          <w:highlight w:val="none"/>
        </w:rPr>
      </w:pPr>
      <w:bookmarkStart w:id="64" w:name="_Toc21717"/>
      <w:r>
        <w:rPr>
          <w:rFonts w:hint="eastAsia" w:ascii="黑体" w:hAnsi="黑体" w:eastAsia="黑体" w:cs="黑体"/>
          <w:b w:val="0"/>
          <w:bCs w:val="0"/>
          <w:strike w:val="0"/>
          <w:dstrike w:val="0"/>
          <w:color w:val="auto"/>
          <w:kern w:val="2"/>
          <w:sz w:val="32"/>
          <w:szCs w:val="32"/>
          <w:lang w:val="en-US" w:eastAsia="zh-CN" w:bidi="ar-SA"/>
        </w:rPr>
        <w:t>十三、</w:t>
      </w:r>
      <w:r>
        <w:rPr>
          <w:rFonts w:hint="eastAsia" w:ascii="黑体" w:hAnsi="黑体" w:eastAsia="黑体"/>
          <w:b w:val="0"/>
          <w:bCs w:val="0"/>
          <w:color w:val="auto"/>
          <w:sz w:val="32"/>
          <w:szCs w:val="32"/>
          <w:highlight w:val="none"/>
        </w:rPr>
        <w:t>聘用办理</w:t>
      </w:r>
      <w:bookmarkEnd w:id="64"/>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65" w:name="_Toc7958"/>
      <w:r>
        <w:rPr>
          <w:rFonts w:hint="eastAsia" w:ascii="楷体" w:hAnsi="楷体" w:eastAsia="楷体"/>
          <w:b/>
          <w:color w:val="auto"/>
          <w:sz w:val="32"/>
          <w:szCs w:val="32"/>
          <w:highlight w:val="none"/>
        </w:rPr>
        <w:t>（一）聘用手续办理</w:t>
      </w:r>
      <w:bookmarkEnd w:id="65"/>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公示结果无异议，或经招聘单位会同主管部门核实不影响聘用的，拟聘人员应于公示期满后2个月内提供办理聘用手续所需的材料（含个人人事档案），因情况确实特殊、无法在上述期限内提供完备材料的，与招聘单位及其主管部门协商同意并书面承诺后可适当延长材料提交时限（延长时限原则上不超过1个月），否则视为放弃聘用资格。</w:t>
      </w:r>
    </w:p>
    <w:p>
      <w:pPr>
        <w:keepNext w:val="0"/>
        <w:keepLines w:val="0"/>
        <w:pageBreakBefore w:val="0"/>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66" w:name="_Toc17876"/>
      <w:r>
        <w:rPr>
          <w:rFonts w:hint="eastAsia" w:ascii="楷体" w:hAnsi="楷体" w:eastAsia="楷体"/>
          <w:b/>
          <w:color w:val="auto"/>
          <w:sz w:val="32"/>
          <w:szCs w:val="32"/>
          <w:highlight w:val="none"/>
        </w:rPr>
        <w:t>（二）岗位聘任</w:t>
      </w:r>
      <w:bookmarkEnd w:id="66"/>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招聘单位对拟聘人员的聘用须按照事业单位岗位设置管理规定，按本单位发布的招聘岗位类别和级别进行聘任。如招聘单位的拟聘岗位数量不足或拟聘人员不具备相应岗位聘任资格条件的，可实行高职低聘。</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outlineLvl w:val="0"/>
        <w:rPr>
          <w:rFonts w:ascii="仿宋_GB2312" w:eastAsia="仿宋_GB2312"/>
          <w:b w:val="0"/>
          <w:bCs w:val="0"/>
          <w:color w:val="auto"/>
          <w:sz w:val="32"/>
          <w:szCs w:val="32"/>
          <w:highlight w:val="none"/>
        </w:rPr>
      </w:pPr>
      <w:bookmarkStart w:id="67" w:name="_Toc30728"/>
      <w:r>
        <w:rPr>
          <w:rFonts w:hint="eastAsia" w:ascii="黑体" w:hAnsi="黑体" w:eastAsia="黑体" w:cs="黑体"/>
          <w:b w:val="0"/>
          <w:bCs w:val="0"/>
          <w:strike w:val="0"/>
          <w:dstrike w:val="0"/>
          <w:color w:val="auto"/>
          <w:kern w:val="2"/>
          <w:sz w:val="32"/>
          <w:szCs w:val="32"/>
          <w:lang w:val="en-US" w:eastAsia="zh-CN" w:bidi="ar-SA"/>
        </w:rPr>
        <w:t>十四、</w:t>
      </w:r>
      <w:r>
        <w:rPr>
          <w:rFonts w:hint="eastAsia" w:ascii="黑体" w:hAnsi="黑体" w:eastAsia="黑体"/>
          <w:b w:val="0"/>
          <w:bCs w:val="0"/>
          <w:color w:val="auto"/>
          <w:sz w:val="32"/>
          <w:szCs w:val="32"/>
          <w:highlight w:val="none"/>
        </w:rPr>
        <w:t>其他需说明事项</w:t>
      </w:r>
      <w:bookmarkEnd w:id="67"/>
    </w:p>
    <w:p>
      <w:pPr>
        <w:keepNext w:val="0"/>
        <w:keepLines w:val="0"/>
        <w:pageBreakBefore w:val="0"/>
        <w:numPr>
          <w:ilvl w:val="0"/>
          <w:numId w:val="0"/>
        </w:numPr>
        <w:kinsoku/>
        <w:overflowPunct/>
        <w:topLinePunct w:val="0"/>
        <w:autoSpaceDE/>
        <w:autoSpaceDN/>
        <w:bidi w:val="0"/>
        <w:spacing w:line="560" w:lineRule="exact"/>
        <w:ind w:left="0" w:leftChars="0" w:firstLine="420" w:firstLineChars="0"/>
        <w:textAlignment w:val="auto"/>
        <w:outlineLvl w:val="1"/>
        <w:rPr>
          <w:rFonts w:ascii="仿宋_GB2312" w:eastAsia="仿宋_GB2312"/>
          <w:b/>
          <w:color w:val="auto"/>
          <w:sz w:val="32"/>
          <w:szCs w:val="32"/>
          <w:highlight w:val="none"/>
        </w:rPr>
      </w:pPr>
      <w:bookmarkStart w:id="68" w:name="_Toc2389"/>
      <w:r>
        <w:rPr>
          <w:rFonts w:hint="eastAsia" w:ascii="楷体" w:hAnsi="楷体" w:eastAsia="楷体" w:cs="楷体"/>
          <w:b/>
          <w:strike w:val="0"/>
          <w:dstrike w:val="0"/>
          <w:color w:val="auto"/>
          <w:kern w:val="2"/>
          <w:sz w:val="32"/>
          <w:szCs w:val="32"/>
          <w:lang w:val="en-US" w:eastAsia="zh-CN" w:bidi="ar-SA"/>
        </w:rPr>
        <w:t>（一）</w:t>
      </w:r>
      <w:r>
        <w:rPr>
          <w:rFonts w:hint="eastAsia" w:ascii="楷体" w:hAnsi="楷体" w:eastAsia="楷体"/>
          <w:b/>
          <w:color w:val="auto"/>
          <w:sz w:val="32"/>
          <w:szCs w:val="32"/>
          <w:highlight w:val="none"/>
        </w:rPr>
        <w:t>全日制普通教育学历</w:t>
      </w:r>
      <w:bookmarkEnd w:id="68"/>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全日制普通教育学历是指经教育部门批准的具有普通高等、中等教育招生资格的高等、中等院校或科研院所、执行普通高等、中等教育统一招生计划、通过统一招生考试录取的、</w:t>
      </w:r>
      <w:r>
        <w:rPr>
          <w:rFonts w:hint="eastAsia" w:ascii="仿宋_GB2312" w:hAnsi="仿宋_GB2312" w:eastAsia="仿宋_GB2312" w:cs="仿宋_GB2312"/>
          <w:color w:val="auto"/>
          <w:sz w:val="32"/>
          <w:szCs w:val="32"/>
          <w:highlight w:val="none"/>
        </w:rPr>
        <w:t>入学时将档案关系转到就读学校、</w:t>
      </w:r>
      <w:r>
        <w:rPr>
          <w:rFonts w:hint="eastAsia" w:ascii="仿宋_GB2312" w:eastAsia="仿宋_GB2312"/>
          <w:color w:val="auto"/>
          <w:sz w:val="32"/>
          <w:szCs w:val="32"/>
          <w:highlight w:val="none"/>
        </w:rPr>
        <w:t>按教学计划完成该学业、取得国家承认的学历。</w:t>
      </w:r>
    </w:p>
    <w:p>
      <w:pPr>
        <w:keepNext w:val="0"/>
        <w:keepLines w:val="0"/>
        <w:pageBreakBefore w:val="0"/>
        <w:numPr>
          <w:ilvl w:val="0"/>
          <w:numId w:val="0"/>
        </w:numPr>
        <w:kinsoku/>
        <w:overflowPunct/>
        <w:topLinePunct w:val="0"/>
        <w:autoSpaceDE/>
        <w:autoSpaceDN/>
        <w:bidi w:val="0"/>
        <w:spacing w:line="560" w:lineRule="exact"/>
        <w:ind w:left="0" w:leftChars="0" w:firstLine="420" w:firstLineChars="0"/>
        <w:textAlignment w:val="auto"/>
        <w:outlineLvl w:val="1"/>
        <w:rPr>
          <w:rFonts w:ascii="楷体" w:hAnsi="楷体" w:eastAsia="楷体"/>
          <w:b/>
          <w:color w:val="auto"/>
          <w:sz w:val="32"/>
          <w:szCs w:val="32"/>
          <w:highlight w:val="none"/>
        </w:rPr>
      </w:pPr>
      <w:bookmarkStart w:id="69" w:name="_Toc19490"/>
      <w:r>
        <w:rPr>
          <w:rFonts w:hint="eastAsia" w:ascii="楷体" w:hAnsi="楷体" w:eastAsia="楷体" w:cs="楷体"/>
          <w:b/>
          <w:strike w:val="0"/>
          <w:dstrike w:val="0"/>
          <w:color w:val="auto"/>
          <w:kern w:val="2"/>
          <w:sz w:val="32"/>
          <w:szCs w:val="32"/>
          <w:lang w:val="en-US" w:eastAsia="zh-CN" w:bidi="ar-SA"/>
        </w:rPr>
        <w:t>（二）</w:t>
      </w:r>
      <w:r>
        <w:rPr>
          <w:rFonts w:hint="eastAsia" w:ascii="楷体" w:hAnsi="楷体" w:eastAsia="楷体"/>
          <w:b/>
          <w:color w:val="auto"/>
          <w:sz w:val="32"/>
          <w:szCs w:val="32"/>
          <w:highlight w:val="none"/>
        </w:rPr>
        <w:t>中共党员</w:t>
      </w:r>
      <w:bookmarkEnd w:id="69"/>
    </w:p>
    <w:p>
      <w:pPr>
        <w:keepNext w:val="0"/>
        <w:keepLines w:val="0"/>
        <w:pageBreakBefore w:val="0"/>
        <w:kinsoku/>
        <w:overflowPunct/>
        <w:topLinePunct w:val="0"/>
        <w:autoSpaceDE/>
        <w:autoSpaceDN/>
        <w:bidi w:val="0"/>
        <w:spacing w:line="560" w:lineRule="exact"/>
        <w:ind w:firstLine="640" w:firstLineChars="200"/>
        <w:textAlignment w:val="auto"/>
        <w:rPr>
          <w:rFonts w:ascii="楷体" w:hAnsi="楷体" w:eastAsia="楷体"/>
          <w:b/>
          <w:color w:val="auto"/>
          <w:sz w:val="32"/>
          <w:szCs w:val="32"/>
          <w:highlight w:val="none"/>
        </w:rPr>
      </w:pPr>
      <w:r>
        <w:rPr>
          <w:rFonts w:hint="eastAsia" w:ascii="仿宋_GB2312" w:eastAsia="仿宋_GB2312"/>
          <w:color w:val="auto"/>
          <w:sz w:val="32"/>
          <w:szCs w:val="32"/>
          <w:highlight w:val="none"/>
        </w:rPr>
        <w:t>岗位资格条件要求为“中共党员”的，中共预备党员也可报考。</w:t>
      </w:r>
    </w:p>
    <w:p>
      <w:pPr>
        <w:keepNext w:val="0"/>
        <w:keepLines w:val="0"/>
        <w:pageBreakBefore w:val="0"/>
        <w:numPr>
          <w:ilvl w:val="0"/>
          <w:numId w:val="0"/>
        </w:numPr>
        <w:kinsoku/>
        <w:overflowPunct/>
        <w:topLinePunct w:val="0"/>
        <w:autoSpaceDE/>
        <w:autoSpaceDN/>
        <w:bidi w:val="0"/>
        <w:spacing w:line="560" w:lineRule="exact"/>
        <w:ind w:left="0" w:leftChars="0" w:firstLine="420" w:firstLineChars="0"/>
        <w:textAlignment w:val="auto"/>
        <w:outlineLvl w:val="1"/>
        <w:rPr>
          <w:rFonts w:ascii="仿宋_GB2312" w:eastAsia="仿宋_GB2312"/>
          <w:b/>
          <w:color w:val="auto"/>
          <w:sz w:val="32"/>
          <w:szCs w:val="32"/>
          <w:highlight w:val="none"/>
        </w:rPr>
      </w:pPr>
      <w:bookmarkStart w:id="70" w:name="_Toc5195"/>
      <w:r>
        <w:rPr>
          <w:rFonts w:hint="eastAsia" w:ascii="楷体" w:hAnsi="楷体" w:eastAsia="楷体" w:cs="楷体"/>
          <w:b/>
          <w:strike w:val="0"/>
          <w:dstrike w:val="0"/>
          <w:color w:val="auto"/>
          <w:kern w:val="2"/>
          <w:sz w:val="32"/>
          <w:szCs w:val="32"/>
          <w:lang w:val="en-US" w:eastAsia="zh-CN" w:bidi="ar-SA"/>
        </w:rPr>
        <w:t>（三）</w:t>
      </w:r>
      <w:bookmarkStart w:id="71" w:name="_Toc16342"/>
      <w:r>
        <w:rPr>
          <w:rFonts w:hint="eastAsia" w:ascii="楷体" w:hAnsi="楷体" w:eastAsia="楷体"/>
          <w:b/>
          <w:color w:val="auto"/>
          <w:sz w:val="32"/>
          <w:szCs w:val="32"/>
          <w:highlight w:val="none"/>
        </w:rPr>
        <w:t>港澳台人员</w:t>
      </w:r>
      <w:bookmarkEnd w:id="70"/>
      <w:bookmarkEnd w:id="71"/>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港澳台人员（不得持有外国籍）的招聘，按照国家、省和我市有关规定办理。</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outlineLvl w:val="0"/>
        <w:rPr>
          <w:rFonts w:ascii="黑体" w:hAnsi="黑体" w:eastAsia="黑体"/>
          <w:b w:val="0"/>
          <w:bCs w:val="0"/>
          <w:color w:val="auto"/>
          <w:sz w:val="32"/>
          <w:szCs w:val="32"/>
          <w:highlight w:val="none"/>
        </w:rPr>
      </w:pPr>
      <w:bookmarkStart w:id="72" w:name="_Toc27666"/>
      <w:r>
        <w:rPr>
          <w:rFonts w:hint="eastAsia" w:ascii="黑体" w:hAnsi="黑体" w:eastAsia="黑体" w:cs="黑体"/>
          <w:b w:val="0"/>
          <w:bCs w:val="0"/>
          <w:strike w:val="0"/>
          <w:dstrike w:val="0"/>
          <w:color w:val="auto"/>
          <w:kern w:val="2"/>
          <w:sz w:val="32"/>
          <w:szCs w:val="32"/>
          <w:lang w:val="en-US" w:eastAsia="zh-CN" w:bidi="ar-SA"/>
        </w:rPr>
        <w:t>十五、</w:t>
      </w:r>
      <w:r>
        <w:rPr>
          <w:rFonts w:hint="eastAsia" w:ascii="黑体" w:hAnsi="黑体" w:eastAsia="黑体"/>
          <w:b w:val="0"/>
          <w:bCs w:val="0"/>
          <w:color w:val="auto"/>
          <w:sz w:val="32"/>
          <w:szCs w:val="32"/>
          <w:highlight w:val="none"/>
        </w:rPr>
        <w:t>网上报名操作须知</w:t>
      </w:r>
      <w:bookmarkEnd w:id="72"/>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考生须通过“闽政通APP”L4级身份认证，方可报名。</w:t>
      </w:r>
    </w:p>
    <w:p>
      <w:pPr>
        <w:keepNext w:val="0"/>
        <w:keepLines w:val="0"/>
        <w:pageBreakBefore w:val="0"/>
        <w:numPr>
          <w:ilvl w:val="0"/>
          <w:numId w:val="0"/>
        </w:numPr>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73" w:name="_Toc28203"/>
      <w:r>
        <w:rPr>
          <w:rFonts w:hint="eastAsia" w:ascii="楷体" w:hAnsi="楷体" w:eastAsia="楷体" w:cstheme="minorBidi"/>
          <w:b/>
          <w:color w:val="auto"/>
          <w:kern w:val="2"/>
          <w:sz w:val="32"/>
          <w:szCs w:val="32"/>
          <w:lang w:val="en-US" w:eastAsia="zh-CN" w:bidi="ar-SA"/>
        </w:rPr>
        <w:t>（一）</w:t>
      </w:r>
      <w:r>
        <w:rPr>
          <w:rFonts w:hint="eastAsia" w:ascii="楷体" w:hAnsi="楷体" w:eastAsia="楷体"/>
          <w:b/>
          <w:color w:val="auto"/>
          <w:sz w:val="32"/>
          <w:szCs w:val="32"/>
          <w:highlight w:val="none"/>
        </w:rPr>
        <w:t>报名信息填写</w:t>
      </w:r>
      <w:bookmarkEnd w:id="73"/>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请考生认真对照岗位资格条件等要求，务必准确、完整填写截至报名日的相关个人信息。</w:t>
      </w:r>
    </w:p>
    <w:p>
      <w:pPr>
        <w:keepNext w:val="0"/>
        <w:keepLines w:val="0"/>
        <w:pageBreakBefore w:val="0"/>
        <w:numPr>
          <w:ilvl w:val="0"/>
          <w:numId w:val="2"/>
        </w:numPr>
        <w:kinsoku/>
        <w:overflowPunct/>
        <w:topLinePunct w:val="0"/>
        <w:autoSpaceDE/>
        <w:autoSpaceDN/>
        <w:bidi w:val="0"/>
        <w:spacing w:line="560" w:lineRule="exact"/>
        <w:textAlignment w:val="auto"/>
        <w:outlineLvl w:val="2"/>
        <w:rPr>
          <w:rFonts w:ascii="仿宋_GB2312" w:hAnsi="仿宋_GB2312" w:eastAsia="仿宋_GB2312" w:cs="仿宋_GB2312"/>
          <w:b/>
          <w:color w:val="auto"/>
          <w:sz w:val="32"/>
          <w:szCs w:val="32"/>
          <w:highlight w:val="none"/>
        </w:rPr>
      </w:pPr>
      <w:bookmarkStart w:id="74" w:name="_Toc10868"/>
      <w:bookmarkStart w:id="75" w:name="_Toc16055"/>
      <w:bookmarkStart w:id="76" w:name="_Toc3262"/>
      <w:bookmarkStart w:id="77" w:name="_Toc15623"/>
      <w:r>
        <w:rPr>
          <w:rFonts w:hint="eastAsia" w:ascii="仿宋_GB2312" w:hAnsi="仿宋_GB2312" w:eastAsia="仿宋_GB2312" w:cs="仿宋_GB2312"/>
          <w:b/>
          <w:color w:val="auto"/>
          <w:sz w:val="32"/>
          <w:szCs w:val="32"/>
          <w:highlight w:val="none"/>
        </w:rPr>
        <w:t>首次在报名系统注册的考生</w:t>
      </w:r>
      <w:bookmarkEnd w:id="74"/>
      <w:bookmarkEnd w:id="75"/>
      <w:bookmarkEnd w:id="76"/>
      <w:bookmarkEnd w:id="77"/>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考生应登录“报名系统”，根据截至报名日实际情况逐一填写个人相关信息，包括“我的基本信息”和“教育工作背景”等。</w:t>
      </w:r>
    </w:p>
    <w:p>
      <w:pPr>
        <w:keepNext w:val="0"/>
        <w:keepLines w:val="0"/>
        <w:pageBreakBefore w:val="0"/>
        <w:numPr>
          <w:ilvl w:val="0"/>
          <w:numId w:val="2"/>
        </w:numPr>
        <w:kinsoku/>
        <w:overflowPunct/>
        <w:topLinePunct w:val="0"/>
        <w:autoSpaceDE/>
        <w:autoSpaceDN/>
        <w:bidi w:val="0"/>
        <w:spacing w:line="560" w:lineRule="exact"/>
        <w:textAlignment w:val="auto"/>
        <w:outlineLvl w:val="2"/>
        <w:rPr>
          <w:rFonts w:ascii="仿宋_GB2312" w:hAnsi="仿宋_GB2312" w:eastAsia="仿宋_GB2312" w:cs="仿宋_GB2312"/>
          <w:b/>
          <w:color w:val="auto"/>
          <w:sz w:val="32"/>
          <w:szCs w:val="32"/>
          <w:highlight w:val="none"/>
        </w:rPr>
      </w:pPr>
      <w:bookmarkStart w:id="78" w:name="_Toc13506"/>
      <w:bookmarkStart w:id="79" w:name="_Toc15532"/>
      <w:bookmarkStart w:id="80" w:name="_Toc5835"/>
      <w:bookmarkStart w:id="81" w:name="_Toc16611"/>
      <w:r>
        <w:rPr>
          <w:rFonts w:hint="eastAsia" w:ascii="仿宋_GB2312" w:hAnsi="仿宋_GB2312" w:eastAsia="仿宋_GB2312" w:cs="仿宋_GB2312"/>
          <w:b/>
          <w:color w:val="auto"/>
          <w:sz w:val="32"/>
          <w:szCs w:val="32"/>
          <w:highlight w:val="none"/>
        </w:rPr>
        <w:t>曾在报名系统注册的考生</w:t>
      </w:r>
      <w:bookmarkEnd w:id="78"/>
      <w:bookmarkEnd w:id="79"/>
      <w:bookmarkEnd w:id="80"/>
      <w:bookmarkEnd w:id="81"/>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务必再次重新修改完善个人相关信息。报名提交审核后修改填写的个人信息，系统将无法更新，导致报考单位按之前信息审核认定不合格。</w:t>
      </w:r>
    </w:p>
    <w:p>
      <w:pPr>
        <w:keepNext w:val="0"/>
        <w:keepLines w:val="0"/>
        <w:pageBreakBefore w:val="0"/>
        <w:numPr>
          <w:ilvl w:val="0"/>
          <w:numId w:val="0"/>
        </w:numPr>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82" w:name="_Toc30205"/>
      <w:r>
        <w:rPr>
          <w:rFonts w:hint="eastAsia" w:ascii="楷体" w:hAnsi="楷体" w:eastAsia="楷体" w:cstheme="minorBidi"/>
          <w:b/>
          <w:color w:val="auto"/>
          <w:kern w:val="2"/>
          <w:sz w:val="32"/>
          <w:szCs w:val="32"/>
          <w:lang w:val="en-US" w:eastAsia="zh-CN" w:bidi="ar-SA"/>
        </w:rPr>
        <w:t>（二）</w:t>
      </w:r>
      <w:r>
        <w:rPr>
          <w:rFonts w:hint="eastAsia" w:ascii="楷体" w:hAnsi="楷体" w:eastAsia="楷体"/>
          <w:b/>
          <w:color w:val="auto"/>
          <w:sz w:val="32"/>
          <w:szCs w:val="32"/>
          <w:highlight w:val="none"/>
        </w:rPr>
        <w:t>报名次数限定</w:t>
      </w:r>
      <w:bookmarkEnd w:id="82"/>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同一个岗位考生最多提交审核3次。在招聘单位未审核前，考生可以在“已报名情况”中自行取消报名，自行取消报名次数不限。通过审核后不得取消或更改报名岗位。</w:t>
      </w:r>
    </w:p>
    <w:p>
      <w:pPr>
        <w:keepNext w:val="0"/>
        <w:keepLines w:val="0"/>
        <w:pageBreakBefore w:val="0"/>
        <w:kinsoku/>
        <w:overflowPunct/>
        <w:topLinePunct w:val="0"/>
        <w:autoSpaceDE/>
        <w:autoSpaceDN/>
        <w:bidi w:val="0"/>
        <w:spacing w:line="560" w:lineRule="exact"/>
        <w:ind w:firstLine="640" w:firstLineChars="200"/>
        <w:textAlignment w:val="auto"/>
        <w:rPr>
          <w:rFonts w:ascii="楷体" w:hAnsi="楷体" w:eastAsia="楷体"/>
          <w:b/>
          <w:color w:val="auto"/>
          <w:sz w:val="32"/>
          <w:szCs w:val="32"/>
          <w:highlight w:val="none"/>
        </w:rPr>
      </w:pPr>
      <w:r>
        <w:rPr>
          <w:rFonts w:hint="eastAsia" w:ascii="仿宋_GB2312" w:eastAsia="仿宋_GB2312"/>
          <w:color w:val="auto"/>
          <w:sz w:val="32"/>
          <w:szCs w:val="32"/>
          <w:highlight w:val="none"/>
        </w:rPr>
        <w:t>对审核不通过的，请考生务必仔细完整阅读审核意见，确保按审核意见修改后再提交。如涉及完善个人信息的，修改完善报名信息后再提交报名，否则岗位资格审核人员仍然无法查看修改后的报名信息，仍将无法通过报名资格审核。</w:t>
      </w:r>
    </w:p>
    <w:p>
      <w:pPr>
        <w:keepNext w:val="0"/>
        <w:keepLines w:val="0"/>
        <w:pageBreakBefore w:val="0"/>
        <w:numPr>
          <w:ilvl w:val="0"/>
          <w:numId w:val="0"/>
        </w:numPr>
        <w:kinsoku/>
        <w:overflowPunct/>
        <w:topLinePunct w:val="0"/>
        <w:autoSpaceDE/>
        <w:autoSpaceDN/>
        <w:bidi w:val="0"/>
        <w:spacing w:line="560" w:lineRule="exact"/>
        <w:ind w:firstLine="643" w:firstLineChars="200"/>
        <w:textAlignment w:val="auto"/>
        <w:outlineLvl w:val="1"/>
        <w:rPr>
          <w:rFonts w:ascii="楷体" w:hAnsi="楷体" w:eastAsia="楷体"/>
          <w:b/>
          <w:color w:val="auto"/>
          <w:sz w:val="32"/>
          <w:szCs w:val="32"/>
          <w:highlight w:val="none"/>
        </w:rPr>
      </w:pPr>
      <w:bookmarkStart w:id="83" w:name="_Toc27256"/>
      <w:r>
        <w:rPr>
          <w:rFonts w:hint="eastAsia" w:ascii="楷体" w:hAnsi="楷体" w:eastAsia="楷体" w:cstheme="minorBidi"/>
          <w:b/>
          <w:color w:val="auto"/>
          <w:kern w:val="2"/>
          <w:sz w:val="32"/>
          <w:szCs w:val="32"/>
          <w:lang w:val="en-US" w:eastAsia="zh-CN" w:bidi="ar-SA"/>
        </w:rPr>
        <w:t>（三）</w:t>
      </w:r>
      <w:r>
        <w:rPr>
          <w:rFonts w:hint="eastAsia" w:ascii="楷体" w:hAnsi="楷体" w:eastAsia="楷体"/>
          <w:b/>
          <w:color w:val="auto"/>
          <w:sz w:val="32"/>
          <w:szCs w:val="32"/>
          <w:highlight w:val="none"/>
        </w:rPr>
        <w:t>申诉注意事项</w:t>
      </w:r>
      <w:bookmarkEnd w:id="83"/>
    </w:p>
    <w:p>
      <w:pPr>
        <w:keepNext w:val="0"/>
        <w:keepLines w:val="0"/>
        <w:pageBreakBefore w:val="0"/>
        <w:kinsoku/>
        <w:overflowPunct/>
        <w:topLinePunct w:val="0"/>
        <w:autoSpaceDE/>
        <w:autoSpaceDN/>
        <w:bidi w:val="0"/>
        <w:spacing w:line="560" w:lineRule="exact"/>
        <w:ind w:firstLine="643" w:firstLineChars="200"/>
        <w:textAlignment w:val="auto"/>
        <w:rPr>
          <w:rFonts w:ascii="仿宋_GB2312" w:eastAsia="仿宋_GB2312"/>
          <w:color w:val="auto"/>
          <w:sz w:val="32"/>
          <w:szCs w:val="32"/>
          <w:highlight w:val="none"/>
        </w:rPr>
      </w:pPr>
      <w:r>
        <w:rPr>
          <w:rFonts w:hint="eastAsia" w:ascii="仿宋_GB2312" w:eastAsia="仿宋_GB2312"/>
          <w:b/>
          <w:bCs/>
          <w:color w:val="auto"/>
          <w:sz w:val="32"/>
          <w:szCs w:val="32"/>
          <w:highlight w:val="none"/>
        </w:rPr>
        <w:t>申诉功能只能使用1次，请慎用！</w:t>
      </w:r>
      <w:r>
        <w:rPr>
          <w:rFonts w:hint="eastAsia" w:ascii="仿宋_GB2312" w:eastAsia="仿宋_GB2312"/>
          <w:color w:val="auto"/>
          <w:sz w:val="32"/>
          <w:szCs w:val="32"/>
          <w:highlight w:val="none"/>
        </w:rPr>
        <w:t>报考者在同一岗位被审核不通过达3次，经与招聘单位沟通核实，对岗位资格审核结果仍有异议的，可在规定期限内及时通过“报名系统”的申诉通道提出申诉。</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因申诉是针对最近一次提交报名的信息进行说明和审核，再次提醒考生务必确保提交报名的信息准确、完整。申诉被驳回后不得再次报考本岗位，在报名截止日前还可报考其他岗位，若已超过报名截止日则不得报考本次招聘。</w:t>
      </w:r>
    </w:p>
    <w:p>
      <w:pPr>
        <w:keepNext w:val="0"/>
        <w:keepLines w:val="0"/>
        <w:pageBreakBefore w:val="0"/>
        <w:kinsoku/>
        <w:overflowPunct/>
        <w:topLinePunct w:val="0"/>
        <w:autoSpaceDE/>
        <w:autoSpaceDN/>
        <w:bidi w:val="0"/>
        <w:spacing w:line="560" w:lineRule="exact"/>
        <w:ind w:firstLine="640" w:firstLineChars="200"/>
        <w:textAlignment w:val="auto"/>
        <w:rPr>
          <w:rFonts w:ascii="楷体_GB2312" w:hAnsi="楷体_GB2312" w:eastAsia="楷体_GB2312" w:cs="楷体_GB2312"/>
          <w:b/>
          <w:strike/>
          <w:kern w:val="0"/>
          <w:sz w:val="32"/>
          <w:szCs w:val="32"/>
          <w:highlight w:val="none"/>
        </w:rPr>
      </w:pPr>
      <w:r>
        <w:rPr>
          <w:rFonts w:hint="eastAsia" w:ascii="仿宋_GB2312" w:eastAsia="仿宋_GB2312"/>
          <w:color w:val="auto"/>
          <w:sz w:val="32"/>
          <w:szCs w:val="32"/>
          <w:highlight w:val="none"/>
        </w:rPr>
        <w:t>申诉理由应尽量简洁明了，无需大段粘贴政策文件或专业目录原文。</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37175AA-F2B5-49DF-AA37-DA9CC721BC52}"/>
  </w:font>
  <w:font w:name="黑体">
    <w:panose1 w:val="02010609060101010101"/>
    <w:charset w:val="86"/>
    <w:family w:val="auto"/>
    <w:pitch w:val="default"/>
    <w:sig w:usb0="800002BF" w:usb1="38CF7CFA" w:usb2="00000016" w:usb3="00000000" w:csb0="00040001" w:csb1="00000000"/>
    <w:embedRegular r:id="rId2" w:fontKey="{AA67E0CF-EA02-4825-9A95-42B2B70DD4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96E1714-2943-4E18-9EB9-E71694A447B4}"/>
  </w:font>
  <w:font w:name="楷体">
    <w:panose1 w:val="02010609060101010101"/>
    <w:charset w:val="86"/>
    <w:family w:val="modern"/>
    <w:pitch w:val="default"/>
    <w:sig w:usb0="800002BF" w:usb1="38CF7CFA" w:usb2="00000016" w:usb3="00000000" w:csb0="00040001" w:csb1="00000000"/>
    <w:embedRegular r:id="rId4" w:fontKey="{08993BE9-9BAC-4579-8BDF-65E0F172EE35}"/>
  </w:font>
  <w:font w:name="仿宋_GB2312">
    <w:panose1 w:val="02010609030101010101"/>
    <w:charset w:val="86"/>
    <w:family w:val="modern"/>
    <w:pitch w:val="default"/>
    <w:sig w:usb0="00000001" w:usb1="080E0000" w:usb2="00000000" w:usb3="00000000" w:csb0="00040000" w:csb1="00000000"/>
    <w:embedRegular r:id="rId5" w:fontKey="{5B46700A-0917-42F0-B30E-5679F8591260}"/>
  </w:font>
  <w:font w:name="楷体_GB2312">
    <w:panose1 w:val="02010609030101010101"/>
    <w:charset w:val="86"/>
    <w:family w:val="modern"/>
    <w:pitch w:val="default"/>
    <w:sig w:usb0="00000001" w:usb1="080E0000" w:usb2="00000000" w:usb3="00000000" w:csb0="00040000" w:csb1="00000000"/>
    <w:embedRegular r:id="rId6" w:fontKey="{04E301DE-F0FE-482E-BF7B-542C82A8A432}"/>
  </w:font>
  <w:font w:name="方正小标宋简体">
    <w:panose1 w:val="02000000000000000000"/>
    <w:charset w:val="86"/>
    <w:family w:val="auto"/>
    <w:pitch w:val="default"/>
    <w:sig w:usb0="00000001" w:usb1="08000000" w:usb2="00000000" w:usb3="00000000" w:csb0="00040000" w:csb1="00000000"/>
    <w:embedRegular r:id="rId7" w:fontKey="{7E177506-75DC-4AE9-97F1-5E1900C6F5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2</w:t>
    </w:r>
    <w:r>
      <w:rPr>
        <w:lang w:val="zh-CN"/>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533626069"/>
                          </w:sdtPr>
                          <w:sdtContent>
                            <w:p>
                              <w:pPr>
                                <w:pStyle w:val="5"/>
                                <w:jc w:val="center"/>
                              </w:pPr>
                              <w:r>
                                <w:fldChar w:fldCharType="begin"/>
                              </w:r>
                              <w:r>
                                <w:instrText xml:space="preserve"> PAGE   \* MERGEFORMAT </w:instrText>
                              </w:r>
                              <w:r>
                                <w:fldChar w:fldCharType="separate"/>
                              </w:r>
                              <w:r>
                                <w:rPr>
                                  <w:lang w:val="zh-CN"/>
                                </w:rPr>
                                <w:t>20</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533626069"/>
                    </w:sdtPr>
                    <w:sdtContent>
                      <w:p>
                        <w:pPr>
                          <w:pStyle w:val="5"/>
                          <w:jc w:val="center"/>
                        </w:pPr>
                        <w:r>
                          <w:fldChar w:fldCharType="begin"/>
                        </w:r>
                        <w:r>
                          <w:instrText xml:space="preserve"> PAGE   \* MERGEFORMAT </w:instrText>
                        </w:r>
                        <w:r>
                          <w:fldChar w:fldCharType="separate"/>
                        </w:r>
                        <w:r>
                          <w:rPr>
                            <w:lang w:val="zh-CN"/>
                          </w:rPr>
                          <w:t>20</w:t>
                        </w:r>
                        <w:r>
                          <w:rPr>
                            <w:lang w:val="zh-CN"/>
                          </w:rPr>
                          <w:fldChar w:fldCharType="end"/>
                        </w:r>
                      </w:p>
                    </w:sdtContent>
                  </w:sdt>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7E7BB"/>
    <w:multiLevelType w:val="singleLevel"/>
    <w:tmpl w:val="BE17E7BB"/>
    <w:lvl w:ilvl="0" w:tentative="0">
      <w:start w:val="3"/>
      <w:numFmt w:val="chineseCounting"/>
      <w:suff w:val="nothing"/>
      <w:lvlText w:val="（%1）"/>
      <w:lvlJc w:val="left"/>
      <w:rPr>
        <w:rFonts w:hint="eastAsia" w:ascii="楷体" w:hAnsi="楷体" w:eastAsia="楷体" w:cs="楷体"/>
        <w:b/>
        <w:bCs/>
        <w:sz w:val="32"/>
        <w:szCs w:val="32"/>
      </w:rPr>
    </w:lvl>
  </w:abstractNum>
  <w:abstractNum w:abstractNumId="1">
    <w:nsid w:val="292C555B"/>
    <w:multiLevelType w:val="singleLevel"/>
    <w:tmpl w:val="292C555B"/>
    <w:lvl w:ilvl="0" w:tentative="0">
      <w:start w:val="1"/>
      <w:numFmt w:val="decimal"/>
      <w:lvlText w:val="%1."/>
      <w:lvlJc w:val="left"/>
      <w:pPr>
        <w:tabs>
          <w:tab w:val="left" w:pos="312"/>
        </w:tabs>
        <w:ind w:left="803"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CA3A16"/>
    <w:rsid w:val="000C02A7"/>
    <w:rsid w:val="00137BC5"/>
    <w:rsid w:val="0014786A"/>
    <w:rsid w:val="0017732C"/>
    <w:rsid w:val="001D3979"/>
    <w:rsid w:val="001D4638"/>
    <w:rsid w:val="00203713"/>
    <w:rsid w:val="0026476F"/>
    <w:rsid w:val="002776FB"/>
    <w:rsid w:val="00283FFF"/>
    <w:rsid w:val="002E7FEC"/>
    <w:rsid w:val="003477C2"/>
    <w:rsid w:val="00376DFB"/>
    <w:rsid w:val="0039564C"/>
    <w:rsid w:val="00413DE3"/>
    <w:rsid w:val="004162DF"/>
    <w:rsid w:val="00422652"/>
    <w:rsid w:val="004C50B6"/>
    <w:rsid w:val="004E77F1"/>
    <w:rsid w:val="00545013"/>
    <w:rsid w:val="00545611"/>
    <w:rsid w:val="005667F7"/>
    <w:rsid w:val="005C5DB6"/>
    <w:rsid w:val="005D7109"/>
    <w:rsid w:val="00610FE4"/>
    <w:rsid w:val="006267CD"/>
    <w:rsid w:val="00686EFE"/>
    <w:rsid w:val="006A58C2"/>
    <w:rsid w:val="00730AD5"/>
    <w:rsid w:val="00732687"/>
    <w:rsid w:val="007B5A5C"/>
    <w:rsid w:val="007E27C1"/>
    <w:rsid w:val="0080307F"/>
    <w:rsid w:val="0080488C"/>
    <w:rsid w:val="00860348"/>
    <w:rsid w:val="008A2CE0"/>
    <w:rsid w:val="008D1D47"/>
    <w:rsid w:val="008D54AC"/>
    <w:rsid w:val="008E0792"/>
    <w:rsid w:val="009179BE"/>
    <w:rsid w:val="009463F5"/>
    <w:rsid w:val="009B61D1"/>
    <w:rsid w:val="00A2570B"/>
    <w:rsid w:val="00A6767A"/>
    <w:rsid w:val="00AA1E3D"/>
    <w:rsid w:val="00AA508C"/>
    <w:rsid w:val="00AF02B5"/>
    <w:rsid w:val="00B84CD4"/>
    <w:rsid w:val="00C358E1"/>
    <w:rsid w:val="00C9333D"/>
    <w:rsid w:val="00C944DC"/>
    <w:rsid w:val="00CA19C8"/>
    <w:rsid w:val="00CA1FE5"/>
    <w:rsid w:val="00CA3785"/>
    <w:rsid w:val="00CA3A16"/>
    <w:rsid w:val="00CD72B2"/>
    <w:rsid w:val="00D736CF"/>
    <w:rsid w:val="00D95ECE"/>
    <w:rsid w:val="00DC461A"/>
    <w:rsid w:val="00E02BE3"/>
    <w:rsid w:val="00E25507"/>
    <w:rsid w:val="00E501FF"/>
    <w:rsid w:val="00E7437F"/>
    <w:rsid w:val="00ED1354"/>
    <w:rsid w:val="00F31ADC"/>
    <w:rsid w:val="00F37D11"/>
    <w:rsid w:val="00FF5A3F"/>
    <w:rsid w:val="012E4057"/>
    <w:rsid w:val="01706B3D"/>
    <w:rsid w:val="01877A92"/>
    <w:rsid w:val="01E54F4F"/>
    <w:rsid w:val="029C19EF"/>
    <w:rsid w:val="02AF79A2"/>
    <w:rsid w:val="034E4D00"/>
    <w:rsid w:val="034F07D5"/>
    <w:rsid w:val="040A5012"/>
    <w:rsid w:val="0431644B"/>
    <w:rsid w:val="04F6562F"/>
    <w:rsid w:val="055067D2"/>
    <w:rsid w:val="060D0DBE"/>
    <w:rsid w:val="061C162C"/>
    <w:rsid w:val="063C65E5"/>
    <w:rsid w:val="06B534C8"/>
    <w:rsid w:val="06EA3643"/>
    <w:rsid w:val="06EF192F"/>
    <w:rsid w:val="07872889"/>
    <w:rsid w:val="083C6075"/>
    <w:rsid w:val="0A2926EC"/>
    <w:rsid w:val="0ABE0466"/>
    <w:rsid w:val="0AC54620"/>
    <w:rsid w:val="0AC74CA5"/>
    <w:rsid w:val="0B2953FE"/>
    <w:rsid w:val="0B496C25"/>
    <w:rsid w:val="0BCB4B16"/>
    <w:rsid w:val="0BF24799"/>
    <w:rsid w:val="0C362919"/>
    <w:rsid w:val="0C42075F"/>
    <w:rsid w:val="0C62192F"/>
    <w:rsid w:val="0C6945A4"/>
    <w:rsid w:val="0C707DBE"/>
    <w:rsid w:val="0C9537CF"/>
    <w:rsid w:val="0CF954AD"/>
    <w:rsid w:val="0CFA7F8B"/>
    <w:rsid w:val="0D132C19"/>
    <w:rsid w:val="0D1D4FC7"/>
    <w:rsid w:val="0E1C3D4F"/>
    <w:rsid w:val="0E54656B"/>
    <w:rsid w:val="0E666006"/>
    <w:rsid w:val="0E792691"/>
    <w:rsid w:val="0EDC703A"/>
    <w:rsid w:val="0EEC0086"/>
    <w:rsid w:val="0EFC1000"/>
    <w:rsid w:val="0FA821AF"/>
    <w:rsid w:val="0FFF56D6"/>
    <w:rsid w:val="100D7DF3"/>
    <w:rsid w:val="10385100"/>
    <w:rsid w:val="11120E04"/>
    <w:rsid w:val="11142108"/>
    <w:rsid w:val="115C0282"/>
    <w:rsid w:val="116E53E2"/>
    <w:rsid w:val="11D50F5D"/>
    <w:rsid w:val="12466C5E"/>
    <w:rsid w:val="127C59E8"/>
    <w:rsid w:val="12B17B3E"/>
    <w:rsid w:val="1351449B"/>
    <w:rsid w:val="137A7CA3"/>
    <w:rsid w:val="14176DC6"/>
    <w:rsid w:val="145D3DE8"/>
    <w:rsid w:val="15714F96"/>
    <w:rsid w:val="15D95F9E"/>
    <w:rsid w:val="15E92563"/>
    <w:rsid w:val="171574FB"/>
    <w:rsid w:val="175B119E"/>
    <w:rsid w:val="17682FA1"/>
    <w:rsid w:val="17D86EC1"/>
    <w:rsid w:val="18581580"/>
    <w:rsid w:val="18904636"/>
    <w:rsid w:val="18DC4FBF"/>
    <w:rsid w:val="19FFEA78"/>
    <w:rsid w:val="1B9A6D1B"/>
    <w:rsid w:val="1D777D8D"/>
    <w:rsid w:val="1D993A56"/>
    <w:rsid w:val="1DDD32AC"/>
    <w:rsid w:val="1DDE0636"/>
    <w:rsid w:val="1E381C14"/>
    <w:rsid w:val="1F642B07"/>
    <w:rsid w:val="1F777442"/>
    <w:rsid w:val="1FAD1DE7"/>
    <w:rsid w:val="1FAE3AD8"/>
    <w:rsid w:val="2004137B"/>
    <w:rsid w:val="20717870"/>
    <w:rsid w:val="207874E7"/>
    <w:rsid w:val="20D11DC7"/>
    <w:rsid w:val="2107136B"/>
    <w:rsid w:val="212E6965"/>
    <w:rsid w:val="21771570"/>
    <w:rsid w:val="21CD6AB5"/>
    <w:rsid w:val="21F41D88"/>
    <w:rsid w:val="21FE759C"/>
    <w:rsid w:val="221236C5"/>
    <w:rsid w:val="22A55E50"/>
    <w:rsid w:val="22A72BED"/>
    <w:rsid w:val="23916A34"/>
    <w:rsid w:val="23DA0315"/>
    <w:rsid w:val="23FF64C8"/>
    <w:rsid w:val="24100CB5"/>
    <w:rsid w:val="242714D3"/>
    <w:rsid w:val="243674C1"/>
    <w:rsid w:val="246170B5"/>
    <w:rsid w:val="248C709C"/>
    <w:rsid w:val="25454C78"/>
    <w:rsid w:val="254C6200"/>
    <w:rsid w:val="25B64A56"/>
    <w:rsid w:val="2690248F"/>
    <w:rsid w:val="27434329"/>
    <w:rsid w:val="27821282"/>
    <w:rsid w:val="27A609B1"/>
    <w:rsid w:val="27E04362"/>
    <w:rsid w:val="28654F9C"/>
    <w:rsid w:val="287A7EB7"/>
    <w:rsid w:val="28DF17A9"/>
    <w:rsid w:val="2984574B"/>
    <w:rsid w:val="298E0E4D"/>
    <w:rsid w:val="29AA0009"/>
    <w:rsid w:val="29DC3048"/>
    <w:rsid w:val="2A07393E"/>
    <w:rsid w:val="2A9640F7"/>
    <w:rsid w:val="2A994305"/>
    <w:rsid w:val="2AB177FA"/>
    <w:rsid w:val="2AB5156E"/>
    <w:rsid w:val="2AB93EDB"/>
    <w:rsid w:val="2D0A1C91"/>
    <w:rsid w:val="2D146264"/>
    <w:rsid w:val="2D1620D0"/>
    <w:rsid w:val="2D352567"/>
    <w:rsid w:val="2D3D3232"/>
    <w:rsid w:val="2DCD29B8"/>
    <w:rsid w:val="2E10141D"/>
    <w:rsid w:val="2E905A1F"/>
    <w:rsid w:val="2ED55ABF"/>
    <w:rsid w:val="2EE36BA3"/>
    <w:rsid w:val="2EFF3BB2"/>
    <w:rsid w:val="2F284924"/>
    <w:rsid w:val="2FF31FA0"/>
    <w:rsid w:val="30496ABC"/>
    <w:rsid w:val="306B2452"/>
    <w:rsid w:val="308A649E"/>
    <w:rsid w:val="32A52DB1"/>
    <w:rsid w:val="32B1522D"/>
    <w:rsid w:val="330D7063"/>
    <w:rsid w:val="331D1B45"/>
    <w:rsid w:val="33570712"/>
    <w:rsid w:val="34054802"/>
    <w:rsid w:val="34171B12"/>
    <w:rsid w:val="34D423BC"/>
    <w:rsid w:val="34D735D7"/>
    <w:rsid w:val="34DF14AF"/>
    <w:rsid w:val="351F4E18"/>
    <w:rsid w:val="353F6511"/>
    <w:rsid w:val="357E6D44"/>
    <w:rsid w:val="36254EF0"/>
    <w:rsid w:val="36433543"/>
    <w:rsid w:val="3777484E"/>
    <w:rsid w:val="37F762E2"/>
    <w:rsid w:val="388147D1"/>
    <w:rsid w:val="38A17E31"/>
    <w:rsid w:val="38E170A5"/>
    <w:rsid w:val="38EB3BCB"/>
    <w:rsid w:val="39893797"/>
    <w:rsid w:val="3A367B8B"/>
    <w:rsid w:val="3BA03D2D"/>
    <w:rsid w:val="3BBB6101"/>
    <w:rsid w:val="3BC67AFC"/>
    <w:rsid w:val="3BF515B8"/>
    <w:rsid w:val="3CAA7142"/>
    <w:rsid w:val="3CFD140A"/>
    <w:rsid w:val="3D3C6670"/>
    <w:rsid w:val="3D5926B2"/>
    <w:rsid w:val="3DF775A3"/>
    <w:rsid w:val="3E2F0B37"/>
    <w:rsid w:val="3E562D7D"/>
    <w:rsid w:val="3E5A77F2"/>
    <w:rsid w:val="3F2661A4"/>
    <w:rsid w:val="3F9A3645"/>
    <w:rsid w:val="3FA304C4"/>
    <w:rsid w:val="406D6EFE"/>
    <w:rsid w:val="40B5380B"/>
    <w:rsid w:val="40C61775"/>
    <w:rsid w:val="40F0731A"/>
    <w:rsid w:val="4291180A"/>
    <w:rsid w:val="42E507E1"/>
    <w:rsid w:val="42FE0D52"/>
    <w:rsid w:val="431A4FDF"/>
    <w:rsid w:val="435E60E4"/>
    <w:rsid w:val="43E56187"/>
    <w:rsid w:val="43F87429"/>
    <w:rsid w:val="450E5498"/>
    <w:rsid w:val="45C66CF9"/>
    <w:rsid w:val="45D103AB"/>
    <w:rsid w:val="463D3A2F"/>
    <w:rsid w:val="46491A81"/>
    <w:rsid w:val="469D6AD4"/>
    <w:rsid w:val="46B84C96"/>
    <w:rsid w:val="46DF3096"/>
    <w:rsid w:val="46FA6E62"/>
    <w:rsid w:val="47240519"/>
    <w:rsid w:val="475D390B"/>
    <w:rsid w:val="4A203CA4"/>
    <w:rsid w:val="4A880C0A"/>
    <w:rsid w:val="4AA91EEB"/>
    <w:rsid w:val="4B054C48"/>
    <w:rsid w:val="4C3825A0"/>
    <w:rsid w:val="4C9B4511"/>
    <w:rsid w:val="4CC0176E"/>
    <w:rsid w:val="4D667BAF"/>
    <w:rsid w:val="4DAD44A0"/>
    <w:rsid w:val="4E073F0E"/>
    <w:rsid w:val="4EBD7FB6"/>
    <w:rsid w:val="4EC918D2"/>
    <w:rsid w:val="4EE73456"/>
    <w:rsid w:val="4F675ED1"/>
    <w:rsid w:val="4F895F71"/>
    <w:rsid w:val="4FF0236A"/>
    <w:rsid w:val="50247421"/>
    <w:rsid w:val="50334005"/>
    <w:rsid w:val="50461F8A"/>
    <w:rsid w:val="50B679B6"/>
    <w:rsid w:val="5246001F"/>
    <w:rsid w:val="53564D9D"/>
    <w:rsid w:val="540313D5"/>
    <w:rsid w:val="5406551D"/>
    <w:rsid w:val="543F741C"/>
    <w:rsid w:val="54EC7875"/>
    <w:rsid w:val="554A40DA"/>
    <w:rsid w:val="55595C51"/>
    <w:rsid w:val="557377A3"/>
    <w:rsid w:val="55A451A2"/>
    <w:rsid w:val="560C1580"/>
    <w:rsid w:val="566125DB"/>
    <w:rsid w:val="56BE477A"/>
    <w:rsid w:val="576324C7"/>
    <w:rsid w:val="576F2D86"/>
    <w:rsid w:val="579E6CD9"/>
    <w:rsid w:val="57D325F5"/>
    <w:rsid w:val="587A4EC7"/>
    <w:rsid w:val="593F752E"/>
    <w:rsid w:val="59442D7B"/>
    <w:rsid w:val="5A283182"/>
    <w:rsid w:val="5A3F0176"/>
    <w:rsid w:val="5A551433"/>
    <w:rsid w:val="5A92474A"/>
    <w:rsid w:val="5A9340A0"/>
    <w:rsid w:val="5AAA10A0"/>
    <w:rsid w:val="5ADE4548"/>
    <w:rsid w:val="5AE23015"/>
    <w:rsid w:val="5B1F58B2"/>
    <w:rsid w:val="5C033BC0"/>
    <w:rsid w:val="5C553C81"/>
    <w:rsid w:val="5C5B01E8"/>
    <w:rsid w:val="5C620362"/>
    <w:rsid w:val="5C976E58"/>
    <w:rsid w:val="5CC84C5F"/>
    <w:rsid w:val="5DFF4EA3"/>
    <w:rsid w:val="5F3A704F"/>
    <w:rsid w:val="5F5F6BC4"/>
    <w:rsid w:val="5FBB56E1"/>
    <w:rsid w:val="603C3BAE"/>
    <w:rsid w:val="60F021CA"/>
    <w:rsid w:val="612F6021"/>
    <w:rsid w:val="619D144E"/>
    <w:rsid w:val="61A8597B"/>
    <w:rsid w:val="633A3546"/>
    <w:rsid w:val="639B0457"/>
    <w:rsid w:val="6529276A"/>
    <w:rsid w:val="65561D37"/>
    <w:rsid w:val="6563794C"/>
    <w:rsid w:val="65921AA2"/>
    <w:rsid w:val="665054B9"/>
    <w:rsid w:val="66C15011"/>
    <w:rsid w:val="67587B68"/>
    <w:rsid w:val="67A1421E"/>
    <w:rsid w:val="68753401"/>
    <w:rsid w:val="68C55500"/>
    <w:rsid w:val="69767728"/>
    <w:rsid w:val="6A1F5B15"/>
    <w:rsid w:val="6A1F6AAF"/>
    <w:rsid w:val="6ACA2314"/>
    <w:rsid w:val="6B1F2597"/>
    <w:rsid w:val="6B6C2E6F"/>
    <w:rsid w:val="6BB97558"/>
    <w:rsid w:val="6BDD91FD"/>
    <w:rsid w:val="6BE172C8"/>
    <w:rsid w:val="6BFF327F"/>
    <w:rsid w:val="6C013E2E"/>
    <w:rsid w:val="6C8075E2"/>
    <w:rsid w:val="6C896BC3"/>
    <w:rsid w:val="6CA42558"/>
    <w:rsid w:val="6D9912B9"/>
    <w:rsid w:val="6DBF6C46"/>
    <w:rsid w:val="6E5D1E1F"/>
    <w:rsid w:val="6E5F2B55"/>
    <w:rsid w:val="6E69026A"/>
    <w:rsid w:val="6EE62CE7"/>
    <w:rsid w:val="6F122394"/>
    <w:rsid w:val="6FFFAA6E"/>
    <w:rsid w:val="708C0CCC"/>
    <w:rsid w:val="70DE5970"/>
    <w:rsid w:val="70EA56E6"/>
    <w:rsid w:val="70EE53CD"/>
    <w:rsid w:val="712712B8"/>
    <w:rsid w:val="72EE22E1"/>
    <w:rsid w:val="736B2384"/>
    <w:rsid w:val="73DA81D4"/>
    <w:rsid w:val="7408439B"/>
    <w:rsid w:val="74156E9F"/>
    <w:rsid w:val="74177270"/>
    <w:rsid w:val="746F7336"/>
    <w:rsid w:val="747852FC"/>
    <w:rsid w:val="74D10B56"/>
    <w:rsid w:val="75CD167C"/>
    <w:rsid w:val="76233D1B"/>
    <w:rsid w:val="775D3592"/>
    <w:rsid w:val="777506C5"/>
    <w:rsid w:val="7789021B"/>
    <w:rsid w:val="77EC41DA"/>
    <w:rsid w:val="77FA644E"/>
    <w:rsid w:val="78123420"/>
    <w:rsid w:val="78570929"/>
    <w:rsid w:val="785B6B77"/>
    <w:rsid w:val="78DE52DA"/>
    <w:rsid w:val="78E77648"/>
    <w:rsid w:val="793C4AC0"/>
    <w:rsid w:val="795F3C44"/>
    <w:rsid w:val="796609F6"/>
    <w:rsid w:val="796650F2"/>
    <w:rsid w:val="796D3657"/>
    <w:rsid w:val="79B80F53"/>
    <w:rsid w:val="79FD47AD"/>
    <w:rsid w:val="7A2B232E"/>
    <w:rsid w:val="7A595755"/>
    <w:rsid w:val="7B51340D"/>
    <w:rsid w:val="7BFBAFC1"/>
    <w:rsid w:val="7C615798"/>
    <w:rsid w:val="7C6D071B"/>
    <w:rsid w:val="7CA83501"/>
    <w:rsid w:val="7CF95B0B"/>
    <w:rsid w:val="7D4A461B"/>
    <w:rsid w:val="7D8E4E41"/>
    <w:rsid w:val="7DA302C5"/>
    <w:rsid w:val="7E090AA1"/>
    <w:rsid w:val="7E411833"/>
    <w:rsid w:val="7E924827"/>
    <w:rsid w:val="7F233313"/>
    <w:rsid w:val="7F526B1C"/>
    <w:rsid w:val="7F771774"/>
    <w:rsid w:val="7FE650A6"/>
    <w:rsid w:val="7FF06B5B"/>
    <w:rsid w:val="7FF3E080"/>
    <w:rsid w:val="B1FF8971"/>
    <w:rsid w:val="B3ECF973"/>
    <w:rsid w:val="CFD3116A"/>
    <w:rsid w:val="E7FFC93C"/>
    <w:rsid w:val="EFACC64E"/>
    <w:rsid w:val="EFF673EA"/>
    <w:rsid w:val="FAFF7655"/>
    <w:rsid w:val="FBED2117"/>
    <w:rsid w:val="FC7953B8"/>
    <w:rsid w:val="FD6B1657"/>
    <w:rsid w:val="FFEDD6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toc 3"/>
    <w:basedOn w:val="1"/>
    <w:next w:val="1"/>
    <w:autoRedefine/>
    <w:unhideWhenUsed/>
    <w:qFormat/>
    <w:uiPriority w:val="39"/>
    <w:pPr>
      <w:ind w:left="840" w:leftChars="400"/>
    </w:pPr>
  </w:style>
  <w:style w:type="paragraph" w:styleId="4">
    <w:name w:val="Balloon Text"/>
    <w:basedOn w:val="1"/>
    <w:link w:val="20"/>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toc 2"/>
    <w:basedOn w:val="1"/>
    <w:next w:val="1"/>
    <w:autoRedefine/>
    <w:unhideWhenUsed/>
    <w:qFormat/>
    <w:uiPriority w:val="39"/>
    <w:pPr>
      <w:ind w:left="420" w:leftChars="200"/>
    </w:p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autoRedefine/>
    <w:qFormat/>
    <w:uiPriority w:val="0"/>
    <w:pPr>
      <w:spacing w:before="100" w:beforeAutospacing="1" w:after="100" w:afterAutospacing="1"/>
      <w:jc w:val="left"/>
    </w:pPr>
    <w:rPr>
      <w:rFonts w:cs="Times New Roman"/>
      <w:kern w:val="0"/>
      <w:sz w:val="24"/>
    </w:rPr>
  </w:style>
  <w:style w:type="character" w:styleId="13">
    <w:name w:val="Hyperlink"/>
    <w:basedOn w:val="12"/>
    <w:autoRedefine/>
    <w:unhideWhenUsed/>
    <w:qFormat/>
    <w:uiPriority w:val="99"/>
    <w:rPr>
      <w:color w:val="0000FF"/>
      <w:u w:val="single"/>
    </w:rPr>
  </w:style>
  <w:style w:type="character" w:styleId="14">
    <w:name w:val="annotation reference"/>
    <w:basedOn w:val="12"/>
    <w:autoRedefine/>
    <w:semiHidden/>
    <w:unhideWhenUsed/>
    <w:qFormat/>
    <w:uiPriority w:val="99"/>
    <w:rPr>
      <w:sz w:val="21"/>
      <w:szCs w:val="21"/>
    </w:rPr>
  </w:style>
  <w:style w:type="character" w:customStyle="1" w:styleId="15">
    <w:name w:val="页眉 Char"/>
    <w:basedOn w:val="12"/>
    <w:link w:val="6"/>
    <w:autoRedefine/>
    <w:semiHidden/>
    <w:qFormat/>
    <w:uiPriority w:val="99"/>
    <w:rPr>
      <w:sz w:val="18"/>
      <w:szCs w:val="18"/>
    </w:rPr>
  </w:style>
  <w:style w:type="character" w:customStyle="1" w:styleId="16">
    <w:name w:val="页脚 Char"/>
    <w:basedOn w:val="12"/>
    <w:link w:val="5"/>
    <w:autoRedefine/>
    <w:qFormat/>
    <w:uiPriority w:val="99"/>
    <w:rPr>
      <w:sz w:val="18"/>
      <w:szCs w:val="18"/>
    </w:rPr>
  </w:style>
  <w:style w:type="paragraph" w:customStyle="1" w:styleId="17">
    <w:name w:val="WPSOffice手动目录 1"/>
    <w:autoRedefine/>
    <w:qFormat/>
    <w:uiPriority w:val="0"/>
    <w:rPr>
      <w:rFonts w:ascii="Times New Roman" w:hAnsi="Times New Roman" w:eastAsia="宋体" w:cs="Times New Roman"/>
      <w:lang w:val="en-US" w:eastAsia="zh-CN" w:bidi="ar-SA"/>
    </w:rPr>
  </w:style>
  <w:style w:type="paragraph" w:customStyle="1" w:styleId="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9">
    <w:name w:val="WPSOffice手动目录 3"/>
    <w:autoRedefine/>
    <w:qFormat/>
    <w:uiPriority w:val="0"/>
    <w:pPr>
      <w:ind w:left="400" w:leftChars="400"/>
    </w:pPr>
    <w:rPr>
      <w:rFonts w:ascii="Calibri" w:hAnsi="Calibri" w:eastAsia="宋体" w:cs="Times New Roman"/>
      <w:lang w:val="en-US" w:eastAsia="zh-CN" w:bidi="ar-SA"/>
    </w:rPr>
  </w:style>
  <w:style w:type="character" w:customStyle="1" w:styleId="20">
    <w:name w:val="批注框文本 Char"/>
    <w:basedOn w:val="12"/>
    <w:link w:val="4"/>
    <w:autoRedefine/>
    <w:semiHidden/>
    <w:qFormat/>
    <w:uiPriority w:val="99"/>
    <w:rPr>
      <w:rFonts w:asciiTheme="minorHAnsi" w:hAnsiTheme="minorHAnsi" w:eastAsiaTheme="minorEastAsia" w:cstheme="minorBidi"/>
      <w:kern w:val="2"/>
      <w:sz w:val="18"/>
      <w:szCs w:val="18"/>
    </w:rPr>
  </w:style>
  <w:style w:type="paragraph" w:customStyle="1" w:styleId="21">
    <w:name w:val="b-free-read-leaf"/>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22">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8601</Words>
  <Characters>8854</Characters>
  <Lines>88</Lines>
  <Paragraphs>24</Paragraphs>
  <TotalTime>4</TotalTime>
  <ScaleCrop>false</ScaleCrop>
  <LinksUpToDate>false</LinksUpToDate>
  <CharactersWithSpaces>8996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2019-09-17T08:54:00Z</dcterms:created>
  <dc:creator>dell</dc:creator>
  <cp:lastModifiedBy>刘小丽</cp:lastModifiedBy>
  <cp:lastPrinted>2025-10-13T01:51:00Z</cp:lastPrinted>
  <dcterms:modified xsi:type="dcterms:W3CDTF">2026-06-29T08:43:43Z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FB98B10663B748DCA1D11EA9E7FDE904_13</vt:lpwstr>
  </property>
  <property fmtid="{D5CDD505-2E9C-101B-9397-08002B2CF9AE}" pid="4" name="KSOTemplateDocerSaveRecord">
    <vt:lpwstr>eyJoZGlkIjoiZTBhNTU5MDJhZDI4MDk4NTZjYmE1Y2QxOTg3MDE5MmYiLCJ1c2VySWQiOiIxNTg0MzI5NDQxIn0=</vt:lpwstr>
  </property>
</Properties>
</file>