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43822">
      <w:pPr>
        <w:keepNext w:val="0"/>
        <w:keepLines w:val="0"/>
        <w:pageBreakBefore w:val="0"/>
        <w:widowControl w:val="0"/>
        <w:kinsoku/>
        <w:wordWrap/>
        <w:overflowPunct/>
        <w:topLinePunct w:val="0"/>
        <w:autoSpaceDE/>
        <w:autoSpaceDN/>
        <w:bidi w:val="0"/>
        <w:adjustRightInd w:val="0"/>
        <w:snapToGrid w:val="0"/>
        <w:spacing w:line="640" w:lineRule="exact"/>
        <w:jc w:val="center"/>
        <w:textAlignment w:val="auto"/>
        <w:rPr>
          <w:rFonts w:hint="eastAsia" w:ascii="方正小标宋简体" w:hAnsi="方正小标宋简体" w:eastAsia="方正小标宋简体" w:cs="方正小标宋简体"/>
          <w:b w:val="0"/>
          <w:bCs/>
          <w:w w:val="85"/>
          <w:kern w:val="0"/>
          <w:sz w:val="44"/>
          <w:szCs w:val="44"/>
          <w:lang w:val="en-US" w:eastAsia="zh-CN"/>
        </w:rPr>
      </w:pPr>
      <w:bookmarkStart w:id="0" w:name="_Toc6286_WPSOffice_Level1"/>
      <w:r>
        <w:rPr>
          <w:rFonts w:hint="eastAsia" w:ascii="方正小标宋简体" w:hAnsi="方正小标宋简体" w:eastAsia="方正小标宋简体" w:cs="方正小标宋简体"/>
          <w:b w:val="0"/>
          <w:bCs/>
          <w:w w:val="85"/>
          <w:kern w:val="0"/>
          <w:sz w:val="44"/>
          <w:szCs w:val="44"/>
        </w:rPr>
        <w:t>202</w:t>
      </w:r>
      <w:r>
        <w:rPr>
          <w:rFonts w:hint="eastAsia" w:ascii="方正小标宋简体" w:hAnsi="方正小标宋简体" w:eastAsia="方正小标宋简体" w:cs="方正小标宋简体"/>
          <w:b w:val="0"/>
          <w:bCs/>
          <w:w w:val="85"/>
          <w:kern w:val="0"/>
          <w:sz w:val="44"/>
          <w:szCs w:val="44"/>
          <w:lang w:val="en-US" w:eastAsia="zh-CN"/>
        </w:rPr>
        <w:t>6</w:t>
      </w:r>
      <w:r>
        <w:rPr>
          <w:rFonts w:hint="eastAsia" w:ascii="方正小标宋简体" w:hAnsi="方正小标宋简体" w:eastAsia="方正小标宋简体" w:cs="方正小标宋简体"/>
          <w:b w:val="0"/>
          <w:bCs/>
          <w:w w:val="85"/>
          <w:kern w:val="0"/>
          <w:sz w:val="44"/>
          <w:szCs w:val="44"/>
        </w:rPr>
        <w:t>年</w:t>
      </w:r>
      <w:r>
        <w:rPr>
          <w:rFonts w:hint="eastAsia" w:ascii="方正小标宋简体" w:hAnsi="方正小标宋简体" w:eastAsia="方正小标宋简体" w:cs="方正小标宋简体"/>
          <w:b w:val="0"/>
          <w:bCs/>
          <w:w w:val="85"/>
          <w:kern w:val="0"/>
          <w:sz w:val="44"/>
          <w:szCs w:val="44"/>
          <w:lang w:val="en-US" w:eastAsia="zh-CN"/>
        </w:rPr>
        <w:t>8</w:t>
      </w:r>
      <w:r>
        <w:rPr>
          <w:rFonts w:hint="eastAsia" w:ascii="方正小标宋简体" w:hAnsi="方正小标宋简体" w:eastAsia="方正小标宋简体" w:cs="方正小标宋简体"/>
          <w:b w:val="0"/>
          <w:bCs/>
          <w:w w:val="85"/>
          <w:kern w:val="0"/>
          <w:sz w:val="44"/>
          <w:szCs w:val="44"/>
        </w:rPr>
        <w:t>月厦门集美</w:t>
      </w:r>
      <w:r>
        <w:rPr>
          <w:rFonts w:hint="eastAsia" w:ascii="方正小标宋简体" w:hAnsi="方正小标宋简体" w:eastAsia="方正小标宋简体" w:cs="方正小标宋简体"/>
          <w:b w:val="0"/>
          <w:bCs/>
          <w:w w:val="85"/>
          <w:kern w:val="0"/>
          <w:sz w:val="44"/>
          <w:szCs w:val="44"/>
          <w:lang w:val="en-US" w:eastAsia="zh-CN"/>
        </w:rPr>
        <w:t>人力资源发展有限公司</w:t>
      </w:r>
    </w:p>
    <w:p w14:paraId="1EDAA576">
      <w:pPr>
        <w:keepNext w:val="0"/>
        <w:keepLines w:val="0"/>
        <w:pageBreakBefore w:val="0"/>
        <w:widowControl w:val="0"/>
        <w:kinsoku/>
        <w:wordWrap/>
        <w:overflowPunct/>
        <w:topLinePunct w:val="0"/>
        <w:autoSpaceDE/>
        <w:autoSpaceDN/>
        <w:bidi w:val="0"/>
        <w:adjustRightInd w:val="0"/>
        <w:snapToGrid w:val="0"/>
        <w:spacing w:line="640" w:lineRule="exact"/>
        <w:jc w:val="center"/>
        <w:textAlignment w:val="auto"/>
        <w:rPr>
          <w:rFonts w:hint="eastAsia" w:ascii="方正小标宋简体" w:hAnsi="方正小标宋简体" w:eastAsia="方正小标宋简体" w:cs="方正小标宋简体"/>
          <w:b w:val="0"/>
          <w:bCs/>
          <w:w w:val="85"/>
          <w:kern w:val="0"/>
          <w:sz w:val="44"/>
          <w:szCs w:val="44"/>
        </w:rPr>
      </w:pPr>
      <w:r>
        <w:rPr>
          <w:rFonts w:hint="eastAsia" w:ascii="方正小标宋简体" w:hAnsi="方正小标宋简体" w:eastAsia="方正小标宋简体" w:cs="方正小标宋简体"/>
          <w:b w:val="0"/>
          <w:bCs/>
          <w:w w:val="85"/>
          <w:kern w:val="0"/>
          <w:sz w:val="44"/>
          <w:szCs w:val="44"/>
          <w:lang w:val="en-US" w:eastAsia="zh-CN"/>
        </w:rPr>
        <w:t>集美</w:t>
      </w:r>
      <w:r>
        <w:rPr>
          <w:rFonts w:hint="eastAsia" w:ascii="方正小标宋简体" w:hAnsi="方正小标宋简体" w:eastAsia="方正小标宋简体" w:cs="方正小标宋简体"/>
          <w:b w:val="0"/>
          <w:bCs/>
          <w:w w:val="85"/>
          <w:kern w:val="0"/>
          <w:sz w:val="44"/>
          <w:szCs w:val="44"/>
        </w:rPr>
        <w:t>分公司招聘工作人员报考须知</w:t>
      </w:r>
    </w:p>
    <w:p w14:paraId="2CEF1EA8">
      <w:pPr>
        <w:keepNext w:val="0"/>
        <w:keepLines w:val="0"/>
        <w:pageBreakBefore w:val="0"/>
        <w:widowControl w:val="0"/>
        <w:kinsoku/>
        <w:wordWrap/>
        <w:overflowPunct/>
        <w:topLinePunct w:val="0"/>
        <w:autoSpaceDE/>
        <w:autoSpaceDN/>
        <w:bidi w:val="0"/>
        <w:adjustRightInd w:val="0"/>
        <w:snapToGrid w:val="0"/>
        <w:spacing w:line="640" w:lineRule="exact"/>
        <w:jc w:val="center"/>
        <w:textAlignment w:val="auto"/>
        <w:rPr>
          <w:rFonts w:hint="eastAsia" w:ascii="方正小标宋简体" w:hAnsi="方正小标宋简体" w:eastAsia="方正小标宋简体" w:cs="方正小标宋简体"/>
          <w:b w:val="0"/>
          <w:bCs/>
          <w:w w:val="85"/>
          <w:kern w:val="0"/>
          <w:sz w:val="44"/>
          <w:szCs w:val="44"/>
        </w:rPr>
      </w:pPr>
    </w:p>
    <w:p w14:paraId="47C3F3DF">
      <w:pPr>
        <w:keepNext w:val="0"/>
        <w:keepLines w:val="0"/>
        <w:pageBreakBefore w:val="0"/>
        <w:widowControl w:val="0"/>
        <w:kinsoku/>
        <w:wordWrap/>
        <w:overflowPunct/>
        <w:topLinePunct w:val="0"/>
        <w:autoSpaceDE/>
        <w:autoSpaceDN/>
        <w:bidi w:val="0"/>
        <w:adjustRightInd w:val="0"/>
        <w:snapToGrid w:val="0"/>
        <w:spacing w:line="640" w:lineRule="exact"/>
        <w:jc w:val="center"/>
        <w:textAlignment w:val="auto"/>
        <w:rPr>
          <w:rFonts w:hint="eastAsia" w:ascii="方正小标宋简体" w:hAnsi="方正小标宋简体" w:eastAsia="方正小标宋简体" w:cs="方正小标宋简体"/>
          <w:b w:val="0"/>
          <w:bCs/>
          <w:w w:val="85"/>
          <w:kern w:val="0"/>
          <w:sz w:val="44"/>
          <w:szCs w:val="44"/>
        </w:rPr>
      </w:pPr>
    </w:p>
    <w:p w14:paraId="32A5A552">
      <w:pPr>
        <w:keepNext w:val="0"/>
        <w:keepLines w:val="0"/>
        <w:pageBreakBefore w:val="0"/>
        <w:widowControl w:val="0"/>
        <w:kinsoku/>
        <w:wordWrap/>
        <w:overflowPunct/>
        <w:topLinePunct w:val="0"/>
        <w:autoSpaceDE/>
        <w:autoSpaceDN/>
        <w:bidi w:val="0"/>
        <w:adjustRightInd w:val="0"/>
        <w:snapToGrid w:val="0"/>
        <w:spacing w:beforeLines="50" w:line="640" w:lineRule="exact"/>
        <w:jc w:val="center"/>
        <w:textAlignment w:val="auto"/>
        <w:rPr>
          <w:rFonts w:hint="eastAsia" w:ascii="黑体" w:hAnsi="黑体" w:eastAsia="黑体" w:cs="黑体"/>
          <w:b w:val="0"/>
          <w:bCs/>
          <w:w w:val="85"/>
          <w:kern w:val="0"/>
          <w:sz w:val="44"/>
          <w:szCs w:val="44"/>
        </w:rPr>
      </w:pPr>
      <w:r>
        <w:rPr>
          <w:rFonts w:hint="eastAsia" w:ascii="黑体" w:hAnsi="黑体" w:eastAsia="黑体" w:cs="黑体"/>
          <w:b w:val="0"/>
          <w:bCs/>
          <w:w w:val="85"/>
          <w:kern w:val="0"/>
          <w:sz w:val="44"/>
          <w:szCs w:val="44"/>
        </w:rPr>
        <w:t>目  录</w:t>
      </w:r>
    </w:p>
    <w:p w14:paraId="27A52720">
      <w:pPr>
        <w:pStyle w:val="10"/>
        <w:tabs>
          <w:tab w:val="right" w:leader="dot" w:pos="8306"/>
          <w:tab w:val="clear" w:pos="8528"/>
        </w:tabs>
        <w:spacing w:line="360" w:lineRule="auto"/>
        <w:rPr>
          <w:rFonts w:ascii="宋体" w:hAnsi="宋体" w:cs="宋体"/>
          <w:b/>
          <w:w w:val="85"/>
          <w:kern w:val="0"/>
          <w:sz w:val="30"/>
          <w:szCs w:val="30"/>
        </w:rPr>
      </w:pPr>
    </w:p>
    <w:p w14:paraId="3D282E2F">
      <w:pPr>
        <w:pStyle w:val="10"/>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 w:val="0"/>
          <w:bCs/>
          <w:w w:val="85"/>
          <w:kern w:val="0"/>
          <w:sz w:val="28"/>
          <w:szCs w:val="28"/>
        </w:rPr>
        <w:fldChar w:fldCharType="begin"/>
      </w:r>
      <w:r>
        <w:rPr>
          <w:rFonts w:hint="eastAsia" w:ascii="楷体_GB2312" w:hAnsi="楷体_GB2312" w:eastAsia="楷体_GB2312" w:cs="楷体_GB2312"/>
          <w:b w:val="0"/>
          <w:bCs/>
          <w:w w:val="85"/>
          <w:kern w:val="0"/>
          <w:sz w:val="28"/>
          <w:szCs w:val="28"/>
        </w:rPr>
        <w:instrText xml:space="preserve">TOC \o "1-3" \t "" \h \z \u </w:instrText>
      </w:r>
      <w:r>
        <w:rPr>
          <w:rFonts w:hint="eastAsia" w:ascii="楷体_GB2312" w:hAnsi="楷体_GB2312" w:eastAsia="楷体_GB2312" w:cs="楷体_GB2312"/>
          <w:b w:val="0"/>
          <w:bCs/>
          <w:w w:val="85"/>
          <w:kern w:val="0"/>
          <w:sz w:val="28"/>
          <w:szCs w:val="28"/>
        </w:rPr>
        <w:fldChar w:fldCharType="separate"/>
      </w:r>
      <w:r>
        <w:rPr>
          <w:rFonts w:hint="eastAsia" w:ascii="楷体_GB2312" w:hAnsi="楷体_GB2312" w:eastAsia="楷体_GB2312" w:cs="楷体_GB2312"/>
          <w:bCs/>
          <w:w w:val="85"/>
          <w:kern w:val="0"/>
          <w:sz w:val="28"/>
          <w:szCs w:val="28"/>
        </w:rPr>
        <w:fldChar w:fldCharType="begin"/>
      </w:r>
      <w:r>
        <w:rPr>
          <w:rFonts w:hint="eastAsia" w:ascii="楷体_GB2312" w:hAnsi="楷体_GB2312" w:eastAsia="楷体_GB2312" w:cs="楷体_GB2312"/>
          <w:bCs/>
          <w:w w:val="85"/>
          <w:kern w:val="0"/>
          <w:sz w:val="28"/>
          <w:szCs w:val="28"/>
        </w:rPr>
        <w:instrText xml:space="preserve"> HYPERLINK \l _Toc23222 </w:instrText>
      </w:r>
      <w:r>
        <w:rPr>
          <w:rFonts w:hint="eastAsia" w:ascii="楷体_GB2312" w:hAnsi="楷体_GB2312" w:eastAsia="楷体_GB2312" w:cs="楷体_GB2312"/>
          <w:bCs/>
          <w:w w:val="85"/>
          <w:kern w:val="0"/>
          <w:sz w:val="28"/>
          <w:szCs w:val="28"/>
        </w:rPr>
        <w:fldChar w:fldCharType="separate"/>
      </w:r>
      <w:r>
        <w:rPr>
          <w:rFonts w:hint="eastAsia" w:ascii="楷体_GB2312" w:hAnsi="楷体_GB2312" w:eastAsia="楷体_GB2312" w:cs="楷体_GB2312"/>
          <w:sz w:val="28"/>
          <w:szCs w:val="28"/>
          <w:lang w:val="en-US" w:eastAsia="zh-CN"/>
        </w:rPr>
        <w:t>一、</w:t>
      </w:r>
      <w:r>
        <w:rPr>
          <w:rFonts w:hint="eastAsia" w:ascii="楷体_GB2312" w:hAnsi="楷体_GB2312" w:eastAsia="楷体_GB2312" w:cs="楷体_GB2312"/>
          <w:sz w:val="28"/>
          <w:szCs w:val="28"/>
        </w:rPr>
        <w:t>基本条件</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_Toc23222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3</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w w:val="85"/>
          <w:kern w:val="0"/>
          <w:sz w:val="28"/>
          <w:szCs w:val="28"/>
        </w:rPr>
        <w:fldChar w:fldCharType="end"/>
      </w:r>
    </w:p>
    <w:p w14:paraId="5B123462">
      <w:pPr>
        <w:pStyle w:val="10"/>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_Toc18994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sz w:val="28"/>
          <w:szCs w:val="28"/>
          <w:lang w:val="en-US" w:eastAsia="zh-CN"/>
        </w:rPr>
        <w:t>二、</w:t>
      </w:r>
      <w:r>
        <w:rPr>
          <w:rFonts w:hint="eastAsia" w:ascii="楷体_GB2312" w:hAnsi="楷体_GB2312" w:eastAsia="楷体_GB2312" w:cs="楷体_GB2312"/>
          <w:sz w:val="28"/>
          <w:szCs w:val="28"/>
        </w:rPr>
        <w:t>不得报考或取消报考（录用）资格的情形</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_Toc18994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3</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6EDA68DF">
      <w:pPr>
        <w:pStyle w:val="10"/>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_Toc2306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sz w:val="28"/>
          <w:szCs w:val="28"/>
          <w:lang w:val="en-US" w:eastAsia="zh-CN"/>
        </w:rPr>
        <w:t>三、</w:t>
      </w:r>
      <w:r>
        <w:rPr>
          <w:rFonts w:hint="eastAsia" w:ascii="楷体_GB2312" w:hAnsi="楷体_GB2312" w:eastAsia="楷体_GB2312" w:cs="楷体_GB2312"/>
          <w:sz w:val="28"/>
          <w:szCs w:val="28"/>
        </w:rPr>
        <w:t>选报岗位须知</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_Toc2306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6</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1D59CC3B">
      <w:pPr>
        <w:pStyle w:val="13"/>
        <w:keepNext w:val="0"/>
        <w:keepLines w:val="0"/>
        <w:pageBreakBefore w:val="0"/>
        <w:widowControl w:val="0"/>
        <w:tabs>
          <w:tab w:val="right" w:leader="dot" w:pos="8528"/>
        </w:tabs>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_Toc28860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bCs/>
          <w:sz w:val="28"/>
          <w:szCs w:val="28"/>
          <w:lang w:eastAsia="zh-CN"/>
        </w:rPr>
        <w:t>（</w:t>
      </w:r>
      <w:r>
        <w:rPr>
          <w:rFonts w:hint="eastAsia" w:ascii="楷体_GB2312" w:hAnsi="楷体_GB2312" w:eastAsia="楷体_GB2312" w:cs="楷体_GB2312"/>
          <w:bCs/>
          <w:sz w:val="28"/>
          <w:szCs w:val="28"/>
          <w:lang w:val="en-US" w:eastAsia="zh-CN"/>
        </w:rPr>
        <w:t>一）</w:t>
      </w:r>
      <w:r>
        <w:rPr>
          <w:rFonts w:hint="eastAsia" w:ascii="楷体_GB2312" w:hAnsi="楷体_GB2312" w:eastAsia="楷体_GB2312" w:cs="楷体_GB2312"/>
          <w:bCs/>
          <w:sz w:val="28"/>
          <w:szCs w:val="28"/>
        </w:rPr>
        <w:t>报考资格条件确认</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_Toc28860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6</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45F6EE21">
      <w:pPr>
        <w:pStyle w:val="13"/>
        <w:keepNext w:val="0"/>
        <w:keepLines w:val="0"/>
        <w:pageBreakBefore w:val="0"/>
        <w:widowControl w:val="0"/>
        <w:tabs>
          <w:tab w:val="right" w:leader="dot" w:pos="8528"/>
        </w:tabs>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_Toc10560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bCs/>
          <w:sz w:val="28"/>
          <w:szCs w:val="28"/>
          <w:lang w:eastAsia="zh-CN"/>
        </w:rPr>
        <w:t>（</w:t>
      </w:r>
      <w:r>
        <w:rPr>
          <w:rFonts w:hint="eastAsia" w:ascii="楷体_GB2312" w:hAnsi="楷体_GB2312" w:eastAsia="楷体_GB2312" w:cs="楷体_GB2312"/>
          <w:bCs/>
          <w:sz w:val="28"/>
          <w:szCs w:val="28"/>
          <w:lang w:val="en-US" w:eastAsia="zh-CN"/>
        </w:rPr>
        <w:t>二）</w:t>
      </w:r>
      <w:r>
        <w:rPr>
          <w:rFonts w:hint="eastAsia" w:ascii="楷体_GB2312" w:hAnsi="楷体_GB2312" w:eastAsia="楷体_GB2312" w:cs="楷体_GB2312"/>
          <w:bCs/>
          <w:sz w:val="28"/>
          <w:szCs w:val="28"/>
        </w:rPr>
        <w:t>简历填写</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_Toc10560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6</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27ACEEEF">
      <w:pPr>
        <w:pStyle w:val="13"/>
        <w:keepNext w:val="0"/>
        <w:keepLines w:val="0"/>
        <w:pageBreakBefore w:val="0"/>
        <w:widowControl w:val="0"/>
        <w:tabs>
          <w:tab w:val="right" w:leader="dot" w:pos="8528"/>
        </w:tabs>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_Toc23560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bCs/>
          <w:sz w:val="28"/>
          <w:szCs w:val="28"/>
          <w:lang w:eastAsia="zh-CN"/>
        </w:rPr>
        <w:t>（</w:t>
      </w:r>
      <w:r>
        <w:rPr>
          <w:rFonts w:hint="eastAsia" w:ascii="楷体_GB2312" w:hAnsi="楷体_GB2312" w:eastAsia="楷体_GB2312" w:cs="楷体_GB2312"/>
          <w:bCs/>
          <w:sz w:val="28"/>
          <w:szCs w:val="28"/>
          <w:lang w:val="en-US" w:eastAsia="zh-CN"/>
        </w:rPr>
        <w:t>三）</w:t>
      </w:r>
      <w:r>
        <w:rPr>
          <w:rFonts w:hint="eastAsia" w:ascii="楷体_GB2312" w:hAnsi="楷体_GB2312" w:eastAsia="楷体_GB2312" w:cs="楷体_GB2312"/>
          <w:bCs/>
          <w:sz w:val="28"/>
          <w:szCs w:val="28"/>
        </w:rPr>
        <w:t>回避情形</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_Toc23560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6</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143BD33D">
      <w:pPr>
        <w:pStyle w:val="10"/>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_Toc27748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sz w:val="28"/>
          <w:szCs w:val="28"/>
          <w:lang w:val="en-US" w:eastAsia="zh-CN"/>
        </w:rPr>
        <w:t>四、</w:t>
      </w:r>
      <w:r>
        <w:rPr>
          <w:rFonts w:hint="eastAsia" w:ascii="楷体_GB2312" w:hAnsi="楷体_GB2312" w:eastAsia="楷体_GB2312" w:cs="楷体_GB2312"/>
          <w:sz w:val="28"/>
          <w:szCs w:val="28"/>
        </w:rPr>
        <w:t>年龄、资格（历）等的计算办法</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_Toc27748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8</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464A52FE">
      <w:pPr>
        <w:pStyle w:val="13"/>
        <w:keepNext w:val="0"/>
        <w:keepLines w:val="0"/>
        <w:pageBreakBefore w:val="0"/>
        <w:widowControl w:val="0"/>
        <w:tabs>
          <w:tab w:val="right" w:leader="dot" w:pos="8528"/>
        </w:tabs>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_Toc18465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bCs/>
          <w:sz w:val="28"/>
          <w:szCs w:val="28"/>
        </w:rPr>
        <w:t>（一）年龄</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_Toc18465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8</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40968444">
      <w:pPr>
        <w:pStyle w:val="13"/>
        <w:keepNext w:val="0"/>
        <w:keepLines w:val="0"/>
        <w:pageBreakBefore w:val="0"/>
        <w:widowControl w:val="0"/>
        <w:tabs>
          <w:tab w:val="right" w:leader="dot" w:pos="8528"/>
        </w:tabs>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_Toc14759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bCs/>
          <w:sz w:val="28"/>
          <w:szCs w:val="28"/>
        </w:rPr>
        <w:t>（二）资格（历）等</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_Toc14759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8</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79AAEA12">
      <w:pPr>
        <w:pStyle w:val="10"/>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_Toc5455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sz w:val="28"/>
          <w:szCs w:val="28"/>
          <w:lang w:val="en-US" w:eastAsia="zh-CN"/>
        </w:rPr>
        <w:t>五、</w:t>
      </w:r>
      <w:r>
        <w:rPr>
          <w:rFonts w:hint="eastAsia" w:ascii="楷体_GB2312" w:hAnsi="楷体_GB2312" w:eastAsia="楷体_GB2312" w:cs="楷体_GB2312"/>
          <w:sz w:val="28"/>
          <w:szCs w:val="28"/>
        </w:rPr>
        <w:t>学历（位）认定</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_Toc5455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8</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1D43E679">
      <w:pPr>
        <w:pStyle w:val="13"/>
        <w:keepNext w:val="0"/>
        <w:keepLines w:val="0"/>
        <w:pageBreakBefore w:val="0"/>
        <w:widowControl w:val="0"/>
        <w:tabs>
          <w:tab w:val="right" w:leader="dot" w:pos="8528"/>
        </w:tabs>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_Toc30300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bCs/>
          <w:sz w:val="28"/>
          <w:szCs w:val="28"/>
          <w:lang w:eastAsia="zh-CN"/>
        </w:rPr>
        <w:t>（</w:t>
      </w:r>
      <w:r>
        <w:rPr>
          <w:rFonts w:hint="eastAsia" w:ascii="楷体_GB2312" w:hAnsi="楷体_GB2312" w:eastAsia="楷体_GB2312" w:cs="楷体_GB2312"/>
          <w:bCs/>
          <w:sz w:val="28"/>
          <w:szCs w:val="28"/>
          <w:lang w:val="en-US" w:eastAsia="zh-CN"/>
        </w:rPr>
        <w:t>一）</w:t>
      </w:r>
      <w:r>
        <w:rPr>
          <w:rFonts w:hint="eastAsia" w:ascii="楷体_GB2312" w:hAnsi="楷体_GB2312" w:eastAsia="楷体_GB2312" w:cs="楷体_GB2312"/>
          <w:bCs/>
          <w:sz w:val="28"/>
          <w:szCs w:val="28"/>
        </w:rPr>
        <w:t>境内学历（位）</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_Toc30300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8</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1C93A3CF">
      <w:pPr>
        <w:pStyle w:val="13"/>
        <w:keepNext w:val="0"/>
        <w:keepLines w:val="0"/>
        <w:pageBreakBefore w:val="0"/>
        <w:widowControl w:val="0"/>
        <w:tabs>
          <w:tab w:val="right" w:leader="dot" w:pos="8528"/>
        </w:tabs>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_Toc10520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bCs/>
          <w:sz w:val="28"/>
          <w:szCs w:val="28"/>
          <w:lang w:eastAsia="zh-CN"/>
        </w:rPr>
        <w:t>（</w:t>
      </w:r>
      <w:r>
        <w:rPr>
          <w:rFonts w:hint="eastAsia" w:ascii="楷体_GB2312" w:hAnsi="楷体_GB2312" w:eastAsia="楷体_GB2312" w:cs="楷体_GB2312"/>
          <w:bCs/>
          <w:sz w:val="28"/>
          <w:szCs w:val="28"/>
          <w:lang w:val="en-US" w:eastAsia="zh-CN"/>
        </w:rPr>
        <w:t>二）</w:t>
      </w:r>
      <w:r>
        <w:rPr>
          <w:rFonts w:hint="eastAsia" w:ascii="楷体_GB2312" w:hAnsi="楷体_GB2312" w:eastAsia="楷体_GB2312" w:cs="楷体_GB2312"/>
          <w:bCs/>
          <w:sz w:val="28"/>
          <w:szCs w:val="28"/>
        </w:rPr>
        <w:t>第二学士学位</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_Toc10520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8</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7DC203C7">
      <w:pPr>
        <w:pStyle w:val="13"/>
        <w:keepNext w:val="0"/>
        <w:keepLines w:val="0"/>
        <w:pageBreakBefore w:val="0"/>
        <w:widowControl w:val="0"/>
        <w:tabs>
          <w:tab w:val="right" w:leader="dot" w:pos="8528"/>
        </w:tabs>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_Toc14695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bCs/>
          <w:sz w:val="28"/>
          <w:szCs w:val="28"/>
          <w:lang w:eastAsia="zh-CN"/>
        </w:rPr>
        <w:t>（</w:t>
      </w:r>
      <w:r>
        <w:rPr>
          <w:rFonts w:hint="eastAsia" w:ascii="楷体_GB2312" w:hAnsi="楷体_GB2312" w:eastAsia="楷体_GB2312" w:cs="楷体_GB2312"/>
          <w:bCs/>
          <w:sz w:val="28"/>
          <w:szCs w:val="28"/>
          <w:lang w:val="en-US" w:eastAsia="zh-CN"/>
        </w:rPr>
        <w:t>三）</w:t>
      </w:r>
      <w:r>
        <w:rPr>
          <w:rFonts w:hint="eastAsia" w:ascii="楷体_GB2312" w:hAnsi="楷体_GB2312" w:eastAsia="楷体_GB2312" w:cs="楷体_GB2312"/>
          <w:bCs/>
          <w:sz w:val="28"/>
          <w:szCs w:val="28"/>
        </w:rPr>
        <w:t>国（境）外学历（位）</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_Toc14695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9</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2DF77491">
      <w:pPr>
        <w:pStyle w:val="13"/>
        <w:keepNext w:val="0"/>
        <w:keepLines w:val="0"/>
        <w:pageBreakBefore w:val="0"/>
        <w:widowControl w:val="0"/>
        <w:tabs>
          <w:tab w:val="right" w:leader="dot" w:pos="8528"/>
        </w:tabs>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_Toc20582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bCs/>
          <w:sz w:val="28"/>
          <w:szCs w:val="28"/>
          <w:lang w:eastAsia="zh-CN"/>
        </w:rPr>
        <w:t>（</w:t>
      </w:r>
      <w:r>
        <w:rPr>
          <w:rFonts w:hint="eastAsia" w:ascii="楷体_GB2312" w:hAnsi="楷体_GB2312" w:eastAsia="楷体_GB2312" w:cs="楷体_GB2312"/>
          <w:bCs/>
          <w:sz w:val="28"/>
          <w:szCs w:val="28"/>
          <w:lang w:val="en-US" w:eastAsia="zh-CN"/>
        </w:rPr>
        <w:t>四）</w:t>
      </w:r>
      <w:r>
        <w:rPr>
          <w:rFonts w:hint="eastAsia" w:ascii="楷体_GB2312" w:hAnsi="楷体_GB2312" w:eastAsia="楷体_GB2312" w:cs="楷体_GB2312"/>
          <w:bCs/>
          <w:sz w:val="28"/>
          <w:szCs w:val="28"/>
        </w:rPr>
        <w:t>我省“双学位”“双专业”学历</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_Toc20582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9</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4AD1CAC0">
      <w:pPr>
        <w:pStyle w:val="10"/>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_Toc12120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bCs w:val="0"/>
          <w:sz w:val="28"/>
          <w:szCs w:val="28"/>
          <w:lang w:val="en-US" w:eastAsia="zh-CN"/>
        </w:rPr>
        <w:t>六、</w:t>
      </w:r>
      <w:r>
        <w:rPr>
          <w:rFonts w:hint="eastAsia" w:ascii="楷体_GB2312" w:hAnsi="楷体_GB2312" w:eastAsia="楷体_GB2312" w:cs="楷体_GB2312"/>
          <w:bCs w:val="0"/>
          <w:sz w:val="28"/>
          <w:szCs w:val="28"/>
        </w:rPr>
        <w:t>专业</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_Toc12120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9</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191C022B">
      <w:pPr>
        <w:pStyle w:val="13"/>
        <w:keepNext w:val="0"/>
        <w:keepLines w:val="0"/>
        <w:pageBreakBefore w:val="0"/>
        <w:widowControl w:val="0"/>
        <w:tabs>
          <w:tab w:val="right" w:leader="dot" w:pos="8528"/>
        </w:tabs>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_Toc29606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bCs/>
          <w:sz w:val="28"/>
          <w:szCs w:val="28"/>
        </w:rPr>
        <w:t>（一）填报专业名称</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_Toc29606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9</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70D84CAA">
      <w:pPr>
        <w:pStyle w:val="13"/>
        <w:keepNext w:val="0"/>
        <w:keepLines w:val="0"/>
        <w:pageBreakBefore w:val="0"/>
        <w:widowControl w:val="0"/>
        <w:tabs>
          <w:tab w:val="right" w:leader="dot" w:pos="8528"/>
        </w:tabs>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_Toc23677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bCs/>
          <w:sz w:val="28"/>
          <w:szCs w:val="28"/>
        </w:rPr>
        <w:t>（二）专业与学历（位）的对应关系</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_Toc23677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10</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73270AB5">
      <w:pPr>
        <w:pStyle w:val="13"/>
        <w:keepNext w:val="0"/>
        <w:keepLines w:val="0"/>
        <w:pageBreakBefore w:val="0"/>
        <w:widowControl w:val="0"/>
        <w:tabs>
          <w:tab w:val="right" w:leader="dot" w:pos="8528"/>
        </w:tabs>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_Toc13601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bCs/>
          <w:sz w:val="28"/>
          <w:szCs w:val="28"/>
        </w:rPr>
        <w:t>（三）专业资格的认定</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_Toc13601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11</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368CD804">
      <w:pPr>
        <w:pStyle w:val="10"/>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_Toc5226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sz w:val="28"/>
          <w:szCs w:val="28"/>
          <w:lang w:val="en-US" w:eastAsia="zh-CN"/>
        </w:rPr>
        <w:t>七、工作经历（验）</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_Toc5226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11</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683C956B">
      <w:pPr>
        <w:pStyle w:val="10"/>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_Toc4831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sz w:val="28"/>
          <w:szCs w:val="28"/>
          <w:lang w:val="en-US" w:eastAsia="zh-CN"/>
        </w:rPr>
        <w:t>八、</w:t>
      </w:r>
      <w:r>
        <w:rPr>
          <w:rFonts w:hint="eastAsia" w:ascii="楷体_GB2312" w:hAnsi="楷体_GB2312" w:eastAsia="楷体_GB2312" w:cs="楷体_GB2312"/>
          <w:sz w:val="28"/>
          <w:szCs w:val="28"/>
        </w:rPr>
        <w:t>开考比例</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_Toc4831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12</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7AF4F963">
      <w:pPr>
        <w:pStyle w:val="10"/>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_Toc31425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sz w:val="28"/>
          <w:szCs w:val="28"/>
          <w:lang w:val="en-US" w:eastAsia="zh-CN"/>
        </w:rPr>
        <w:t>九、</w:t>
      </w:r>
      <w:r>
        <w:rPr>
          <w:rFonts w:hint="eastAsia" w:ascii="楷体_GB2312" w:hAnsi="楷体_GB2312" w:eastAsia="楷体_GB2312" w:cs="楷体_GB2312"/>
          <w:sz w:val="28"/>
          <w:szCs w:val="28"/>
        </w:rPr>
        <w:t>综合成绩计算</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_Toc31425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12</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35F109D7">
      <w:pPr>
        <w:pStyle w:val="10"/>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_Toc12492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sz w:val="28"/>
          <w:szCs w:val="28"/>
          <w:lang w:val="en-US" w:eastAsia="zh-CN"/>
        </w:rPr>
        <w:t>十、</w:t>
      </w:r>
      <w:r>
        <w:rPr>
          <w:rFonts w:hint="eastAsia" w:ascii="楷体_GB2312" w:hAnsi="楷体_GB2312" w:eastAsia="楷体_GB2312" w:cs="楷体_GB2312"/>
          <w:sz w:val="28"/>
          <w:szCs w:val="28"/>
        </w:rPr>
        <w:t>体检和考察</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_Toc12492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13</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58A4A050">
      <w:pPr>
        <w:pStyle w:val="13"/>
        <w:keepNext w:val="0"/>
        <w:keepLines w:val="0"/>
        <w:pageBreakBefore w:val="0"/>
        <w:widowControl w:val="0"/>
        <w:tabs>
          <w:tab w:val="right" w:leader="dot" w:pos="8528"/>
        </w:tabs>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_Toc16195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bCs/>
          <w:sz w:val="28"/>
          <w:szCs w:val="28"/>
        </w:rPr>
        <w:t>（一）确定体检和考察人选</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_Toc16195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13</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5C161C0E">
      <w:pPr>
        <w:pStyle w:val="13"/>
        <w:keepNext w:val="0"/>
        <w:keepLines w:val="0"/>
        <w:pageBreakBefore w:val="0"/>
        <w:widowControl w:val="0"/>
        <w:tabs>
          <w:tab w:val="right" w:leader="dot" w:pos="8528"/>
        </w:tabs>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_Toc21766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bCs/>
          <w:sz w:val="28"/>
          <w:szCs w:val="28"/>
        </w:rPr>
        <w:t>（二）组织体检和考察</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_Toc21766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13</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0C76E93C">
      <w:pPr>
        <w:pStyle w:val="13"/>
        <w:keepNext w:val="0"/>
        <w:keepLines w:val="0"/>
        <w:pageBreakBefore w:val="0"/>
        <w:widowControl w:val="0"/>
        <w:tabs>
          <w:tab w:val="right" w:leader="dot" w:pos="8528"/>
        </w:tabs>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_Toc6006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bCs/>
          <w:sz w:val="28"/>
          <w:szCs w:val="28"/>
        </w:rPr>
        <w:t>（三）体检依据</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_Toc6006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13</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34A3C7FA">
      <w:pPr>
        <w:pStyle w:val="13"/>
        <w:keepNext w:val="0"/>
        <w:keepLines w:val="0"/>
        <w:pageBreakBefore w:val="0"/>
        <w:widowControl w:val="0"/>
        <w:tabs>
          <w:tab w:val="right" w:leader="dot" w:pos="8528"/>
        </w:tabs>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_Toc12141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bCs/>
          <w:sz w:val="28"/>
          <w:szCs w:val="28"/>
        </w:rPr>
        <w:t>（四）体检复检</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_Toc12141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13</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13D1A690">
      <w:pPr>
        <w:pStyle w:val="13"/>
        <w:keepNext w:val="0"/>
        <w:keepLines w:val="0"/>
        <w:pageBreakBefore w:val="0"/>
        <w:widowControl w:val="0"/>
        <w:tabs>
          <w:tab w:val="right" w:leader="dot" w:pos="8528"/>
        </w:tabs>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_Toc19039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bCs/>
          <w:sz w:val="28"/>
          <w:szCs w:val="28"/>
        </w:rPr>
        <w:t>（五）可延迟体检的情形</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_Toc19039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14</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5C7A08F3">
      <w:pPr>
        <w:pStyle w:val="13"/>
        <w:keepNext w:val="0"/>
        <w:keepLines w:val="0"/>
        <w:pageBreakBefore w:val="0"/>
        <w:widowControl w:val="0"/>
        <w:tabs>
          <w:tab w:val="right" w:leader="dot" w:pos="8528"/>
        </w:tabs>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_Toc3829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bCs/>
          <w:sz w:val="28"/>
          <w:szCs w:val="28"/>
        </w:rPr>
        <w:t>（六）考察</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_Toc3829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14</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43B85F3F">
      <w:pPr>
        <w:pStyle w:val="10"/>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_Toc1824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sz w:val="28"/>
          <w:szCs w:val="28"/>
          <w:lang w:val="en-US" w:eastAsia="zh-CN"/>
        </w:rPr>
        <w:t>十一、</w:t>
      </w:r>
      <w:r>
        <w:rPr>
          <w:rFonts w:hint="eastAsia" w:ascii="楷体_GB2312" w:hAnsi="楷体_GB2312" w:eastAsia="楷体_GB2312" w:cs="楷体_GB2312"/>
          <w:sz w:val="28"/>
          <w:szCs w:val="28"/>
        </w:rPr>
        <w:t>拟录用公示</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_Toc1824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15</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1CE593FB">
      <w:pPr>
        <w:pStyle w:val="10"/>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28"/>
          <w:szCs w:val="28"/>
        </w:rPr>
      </w:pPr>
      <w:r>
        <w:rPr>
          <w:rFonts w:hint="eastAsia" w:ascii="楷体_GB2312" w:hAnsi="楷体_GB2312" w:eastAsia="楷体_GB2312" w:cs="楷体_GB2312"/>
          <w:bCs/>
          <w:sz w:val="28"/>
          <w:szCs w:val="28"/>
        </w:rPr>
        <w:fldChar w:fldCharType="begin"/>
      </w:r>
      <w:r>
        <w:rPr>
          <w:rFonts w:hint="eastAsia" w:ascii="楷体_GB2312" w:hAnsi="楷体_GB2312" w:eastAsia="楷体_GB2312" w:cs="楷体_GB2312"/>
          <w:bCs/>
          <w:sz w:val="28"/>
          <w:szCs w:val="28"/>
        </w:rPr>
        <w:instrText xml:space="preserve"> HYPERLINK \l _Toc31306 </w:instrText>
      </w:r>
      <w:r>
        <w:rPr>
          <w:rFonts w:hint="eastAsia" w:ascii="楷体_GB2312" w:hAnsi="楷体_GB2312" w:eastAsia="楷体_GB2312" w:cs="楷体_GB2312"/>
          <w:bCs/>
          <w:sz w:val="28"/>
          <w:szCs w:val="28"/>
        </w:rPr>
        <w:fldChar w:fldCharType="separate"/>
      </w:r>
      <w:r>
        <w:rPr>
          <w:rFonts w:hint="eastAsia" w:ascii="楷体_GB2312" w:hAnsi="楷体_GB2312" w:eastAsia="楷体_GB2312" w:cs="楷体_GB2312"/>
          <w:sz w:val="28"/>
          <w:szCs w:val="28"/>
          <w:lang w:val="en-US" w:eastAsia="zh-CN"/>
        </w:rPr>
        <w:t>十二、</w:t>
      </w:r>
      <w:r>
        <w:rPr>
          <w:rFonts w:hint="eastAsia" w:ascii="楷体_GB2312" w:hAnsi="楷体_GB2312" w:eastAsia="楷体_GB2312" w:cs="楷体_GB2312"/>
          <w:sz w:val="28"/>
          <w:szCs w:val="28"/>
        </w:rPr>
        <w:t>录用</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_Toc31306 \h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15</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bCs/>
          <w:sz w:val="28"/>
          <w:szCs w:val="28"/>
        </w:rPr>
        <w:fldChar w:fldCharType="end"/>
      </w:r>
    </w:p>
    <w:p w14:paraId="798A1CFD">
      <w:pPr>
        <w:keepNext w:val="0"/>
        <w:keepLines w:val="0"/>
        <w:pageBreakBefore w:val="0"/>
        <w:widowControl w:val="0"/>
        <w:kinsoku/>
        <w:wordWrap/>
        <w:overflowPunct/>
        <w:topLinePunct w:val="0"/>
        <w:autoSpaceDE/>
        <w:autoSpaceDN/>
        <w:bidi w:val="0"/>
        <w:adjustRightInd/>
        <w:snapToGrid/>
        <w:spacing w:line="600" w:lineRule="exact"/>
        <w:textAlignment w:val="auto"/>
        <w:rPr>
          <w:sz w:val="30"/>
          <w:szCs w:val="30"/>
        </w:rPr>
      </w:pPr>
      <w:r>
        <w:rPr>
          <w:rFonts w:hint="eastAsia" w:ascii="楷体_GB2312" w:hAnsi="楷体_GB2312" w:eastAsia="楷体_GB2312" w:cs="楷体_GB2312"/>
          <w:bCs/>
          <w:sz w:val="28"/>
          <w:szCs w:val="28"/>
        </w:rPr>
        <w:fldChar w:fldCharType="end"/>
      </w:r>
      <w:r>
        <w:rPr>
          <w:rFonts w:hint="eastAsia" w:ascii="仿宋" w:hAnsi="仿宋" w:eastAsia="仿宋" w:cs="仿宋"/>
          <w:sz w:val="30"/>
          <w:szCs w:val="30"/>
        </w:rPr>
        <w:t>注：可通过按住ctrl并单击目录，或点击“视图——导航窗格”进行快速检索。</w:t>
      </w:r>
    </w:p>
    <w:bookmarkEnd w:id="0"/>
    <w:p w14:paraId="3D694B39">
      <w:pPr>
        <w:adjustRightInd w:val="0"/>
        <w:snapToGrid w:val="0"/>
        <w:spacing w:line="640" w:lineRule="exact"/>
        <w:jc w:val="center"/>
        <w:rPr>
          <w:rFonts w:ascii="宋体" w:hAnsi="宋体" w:cs="宋体"/>
          <w:b/>
          <w:w w:val="85"/>
          <w:kern w:val="0"/>
          <w:sz w:val="30"/>
          <w:szCs w:val="30"/>
        </w:rPr>
        <w:sectPr>
          <w:footerReference r:id="rId3" w:type="default"/>
          <w:pgSz w:w="11906" w:h="16838"/>
          <w:pgMar w:top="1270" w:right="1689" w:bottom="1383" w:left="1689" w:header="851" w:footer="992" w:gutter="0"/>
          <w:pgNumType w:start="1"/>
          <w:cols w:space="0" w:num="1"/>
          <w:docGrid w:linePitch="312" w:charSpace="0"/>
        </w:sectPr>
      </w:pPr>
    </w:p>
    <w:p w14:paraId="4D030F3D">
      <w:pPr>
        <w:rPr>
          <w:rFonts w:ascii="仿宋_GB2312" w:eastAsia="仿宋_GB2312"/>
          <w:sz w:val="30"/>
          <w:szCs w:val="30"/>
        </w:rPr>
      </w:pPr>
    </w:p>
    <w:p w14:paraId="2BF4465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为帮助报考者详细了解报考政策、相关事项及提醒需要注意的有关事项，根据国有企业单位招聘有关规定，编写了《202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月厦门集美人力资源发展有限公司</w:t>
      </w:r>
      <w:r>
        <w:rPr>
          <w:rFonts w:hint="eastAsia" w:ascii="仿宋_GB2312" w:hAnsi="仿宋_GB2312" w:eastAsia="仿宋_GB2312" w:cs="仿宋_GB2312"/>
          <w:sz w:val="32"/>
          <w:szCs w:val="32"/>
          <w:lang w:val="en-US" w:eastAsia="zh-CN"/>
        </w:rPr>
        <w:t>集美</w:t>
      </w:r>
      <w:r>
        <w:rPr>
          <w:rFonts w:hint="eastAsia" w:ascii="仿宋_GB2312" w:hAnsi="仿宋_GB2312" w:eastAsia="仿宋_GB2312" w:cs="仿宋_GB2312"/>
          <w:sz w:val="32"/>
          <w:szCs w:val="32"/>
        </w:rPr>
        <w:t>分公司招聘工作人员报考须知》。本须知仅适用于202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月厦门集美人力资源发展有限公司</w:t>
      </w:r>
      <w:r>
        <w:rPr>
          <w:rFonts w:hint="eastAsia" w:ascii="仿宋_GB2312" w:hAnsi="仿宋_GB2312" w:eastAsia="仿宋_GB2312" w:cs="仿宋_GB2312"/>
          <w:sz w:val="32"/>
          <w:szCs w:val="32"/>
          <w:lang w:val="en-US" w:eastAsia="zh-CN"/>
        </w:rPr>
        <w:t>集美</w:t>
      </w:r>
      <w:r>
        <w:rPr>
          <w:rFonts w:hint="eastAsia" w:ascii="仿宋_GB2312" w:hAnsi="仿宋_GB2312" w:eastAsia="仿宋_GB2312" w:cs="仿宋_GB2312"/>
          <w:sz w:val="32"/>
          <w:szCs w:val="32"/>
        </w:rPr>
        <w:t>分公司招聘工作人员考试，由招聘单位解释。</w:t>
      </w:r>
    </w:p>
    <w:p w14:paraId="5EBD71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黑体" w:hAnsi="黑体" w:eastAsia="黑体" w:cs="黑体"/>
          <w:sz w:val="32"/>
          <w:szCs w:val="32"/>
        </w:rPr>
      </w:pPr>
      <w:bookmarkStart w:id="1" w:name="_Toc4087"/>
      <w:bookmarkStart w:id="2" w:name="_Toc12780"/>
      <w:bookmarkStart w:id="3" w:name="_Toc23222"/>
      <w:r>
        <w:rPr>
          <w:rFonts w:hint="eastAsia" w:ascii="黑体" w:hAnsi="黑体" w:eastAsia="黑体" w:cs="黑体"/>
          <w:sz w:val="32"/>
          <w:szCs w:val="32"/>
          <w:lang w:val="en-US" w:eastAsia="zh-CN"/>
        </w:rPr>
        <w:t>一、</w:t>
      </w:r>
      <w:r>
        <w:rPr>
          <w:rFonts w:hint="eastAsia" w:ascii="黑体" w:hAnsi="黑体" w:eastAsia="黑体" w:cs="黑体"/>
          <w:sz w:val="32"/>
          <w:szCs w:val="32"/>
        </w:rPr>
        <w:t>基本条件</w:t>
      </w:r>
      <w:bookmarkEnd w:id="1"/>
      <w:bookmarkEnd w:id="2"/>
      <w:bookmarkEnd w:id="3"/>
    </w:p>
    <w:p w14:paraId="46A0146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bookmarkStart w:id="4" w:name="_Toc19262_WPSOffice_Level2"/>
      <w:bookmarkStart w:id="5" w:name="_Toc9119_WPSOffice_Level2"/>
      <w:bookmarkStart w:id="6" w:name="_Toc17638_WPSOffice_Level2"/>
      <w:bookmarkStart w:id="7" w:name="_Toc29243_WPSOffice_Level2"/>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具有中华人民共和国国籍；</w:t>
      </w:r>
      <w:bookmarkEnd w:id="4"/>
      <w:bookmarkEnd w:id="5"/>
      <w:bookmarkEnd w:id="6"/>
      <w:bookmarkEnd w:id="7"/>
      <w:bookmarkStart w:id="8" w:name="_Toc11941_WPSOffice_Level2"/>
      <w:bookmarkStart w:id="9" w:name="_Toc17350_WPSOffice_Level2"/>
      <w:bookmarkStart w:id="10" w:name="_Toc12392_WPSOffice_Level2"/>
      <w:bookmarkStart w:id="11" w:name="_Toc4207_WPSOffice_Level2"/>
    </w:p>
    <w:p w14:paraId="0024486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拥护中华人民共和国宪法,拥护中国共产党领导和社会主义制度；</w:t>
      </w:r>
      <w:bookmarkEnd w:id="8"/>
      <w:bookmarkEnd w:id="9"/>
      <w:bookmarkEnd w:id="10"/>
      <w:bookmarkEnd w:id="11"/>
      <w:bookmarkStart w:id="12" w:name="_Toc20094_WPSOffice_Level2"/>
      <w:bookmarkStart w:id="13" w:name="_Toc9634_WPSOffice_Level2"/>
      <w:bookmarkStart w:id="14" w:name="_Toc7847_WPSOffice_Level2"/>
      <w:bookmarkStart w:id="15" w:name="_Toc6014_WPSOffice_Level2"/>
    </w:p>
    <w:p w14:paraId="6F1F04F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具有良好的政治素质和道德品行，具有正常履行职责的身心条件；</w:t>
      </w:r>
      <w:bookmarkEnd w:id="12"/>
      <w:bookmarkEnd w:id="13"/>
      <w:bookmarkEnd w:id="14"/>
      <w:bookmarkEnd w:id="15"/>
      <w:bookmarkStart w:id="16" w:name="_Toc13849_WPSOffice_Level2"/>
      <w:bookmarkStart w:id="17" w:name="_Toc27016_WPSOffice_Level2"/>
      <w:bookmarkStart w:id="18" w:name="_Toc30877_WPSOffice_Level2"/>
      <w:bookmarkStart w:id="19" w:name="_Toc6870_WPSOffice_Level2"/>
    </w:p>
    <w:p w14:paraId="1966069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18周岁以上、</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周岁以下（在198</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年8月至200</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年8月期间出生），对年龄条件另有要求的，以岗位要求为准；</w:t>
      </w:r>
    </w:p>
    <w:bookmarkEnd w:id="16"/>
    <w:bookmarkEnd w:id="17"/>
    <w:bookmarkEnd w:id="18"/>
    <w:bookmarkEnd w:id="19"/>
    <w:p w14:paraId="3E54FA1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bookmarkStart w:id="20" w:name="_Toc10788_WPSOffice_Level2"/>
      <w:bookmarkStart w:id="21" w:name="_Toc19929_WPSOffice_Level2"/>
      <w:bookmarkStart w:id="22" w:name="_Toc4758_WPSOffice_Level2"/>
      <w:bookmarkStart w:id="23" w:name="_Toc26060_WPSOffice_Level2"/>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具备招聘岗位设置的资格条件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学历、工作年限、专业要求等</w:t>
      </w:r>
      <w:r>
        <w:rPr>
          <w:rFonts w:hint="eastAsia" w:ascii="仿宋_GB2312" w:hAnsi="仿宋_GB2312" w:eastAsia="仿宋_GB2312" w:cs="仿宋_GB2312"/>
          <w:sz w:val="32"/>
          <w:szCs w:val="32"/>
        </w:rPr>
        <w:t>。</w:t>
      </w:r>
      <w:bookmarkEnd w:id="20"/>
      <w:bookmarkEnd w:id="21"/>
      <w:bookmarkEnd w:id="22"/>
      <w:bookmarkEnd w:id="23"/>
    </w:p>
    <w:p w14:paraId="4068EC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黑体" w:hAnsi="黑体" w:eastAsia="黑体" w:cs="黑体"/>
          <w:sz w:val="32"/>
          <w:szCs w:val="32"/>
        </w:rPr>
      </w:pPr>
      <w:bookmarkStart w:id="24" w:name="_Toc28757"/>
      <w:bookmarkStart w:id="25" w:name="_Toc16690"/>
      <w:bookmarkStart w:id="26" w:name="_Toc18994"/>
      <w:r>
        <w:rPr>
          <w:rFonts w:hint="eastAsia" w:ascii="黑体" w:hAnsi="黑体" w:eastAsia="黑体" w:cs="黑体"/>
          <w:sz w:val="32"/>
          <w:szCs w:val="32"/>
          <w:lang w:val="en-US" w:eastAsia="zh-CN"/>
        </w:rPr>
        <w:t>二、</w:t>
      </w:r>
      <w:r>
        <w:rPr>
          <w:rFonts w:hint="eastAsia" w:ascii="黑体" w:hAnsi="黑体" w:eastAsia="黑体" w:cs="黑体"/>
          <w:sz w:val="32"/>
          <w:szCs w:val="32"/>
        </w:rPr>
        <w:t>不得报考或取消报考（录用）资格的情形</w:t>
      </w:r>
      <w:bookmarkEnd w:id="24"/>
      <w:bookmarkEnd w:id="25"/>
      <w:bookmarkEnd w:id="26"/>
    </w:p>
    <w:p w14:paraId="43F6C68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有违法违纪行为的，包括但不限于:曾因犯罪受过刑事处罚的;或曾开除党、团籍的，曾在高等教育期间受到开除学籍处分的;在国家法定考试中有严重舞弊行为的;曾被原任职单位开除的;在原任职单位受党纪、政务处分，尚在影响期的;近三年内曾受记大过、降级，撤职、留用(留党、留校)察看等处分的;曾作为担任领导职务的公务员引咎辞职或责令辞职不满三年的;曾作为事业单位工作人员违法违纪被降低岗位等级或者撤职后不满三年的;</w:t>
      </w:r>
    </w:p>
    <w:p w14:paraId="265842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被开除公职或开除中国共产党党籍的；</w:t>
      </w:r>
    </w:p>
    <w:p w14:paraId="042DD8D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被各法院列为失信被执行人，或存在其他严重不守信用、不讲诚信行为的; </w:t>
      </w:r>
    </w:p>
    <w:p w14:paraId="6435CF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在各级公务员或国有企业招考中被认定有舞弊等严重违反录(聘)用纪律行为的；</w:t>
      </w:r>
    </w:p>
    <w:p w14:paraId="1E7DF3D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公务员或参照公务员法管理机关（单位）工作人员(以下简称“参公人员”)被辞退未满5年的；</w:t>
      </w:r>
    </w:p>
    <w:p w14:paraId="31A57E5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公务员或参公人员录用后服务年限未达到与当地公务员主管部门或所在单位组织人事部门约定服务年限的；</w:t>
      </w:r>
    </w:p>
    <w:p w14:paraId="65EB74F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现役军人及普通高等院校全日制在读的非应届毕业生（即202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年及以后才学业期满的全日制普通教育学生）；</w:t>
      </w:r>
    </w:p>
    <w:p w14:paraId="2A8ABDD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聘用后即构成应回避关系的；</w:t>
      </w:r>
    </w:p>
    <w:p w14:paraId="766BB9D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在其他单位(机关事业单位、国有企业、集体企业等)任职期间，对本单位、本部门人员的严重违纪违法行为负有主要领导责任的;</w:t>
      </w:r>
    </w:p>
    <w:p w14:paraId="7C05C0C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在其他企业任职期间，在经营投资中未履行或未正确履行职责，造成企业国有资产损失或其他严重不良后果的，相关事件已责任认定但责任追究处理尚未办结或相关事项正调查核实的;</w:t>
      </w:r>
    </w:p>
    <w:p w14:paraId="5D5C7EE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在其他企业工作期间，因决策或经营管理失误导致公司利益遭受重大损失，本人负有主要责任的，或对产生恶劣社会影响负有直接责任的，或涉及违纪违法、失职渎职的;</w:t>
      </w:r>
    </w:p>
    <w:p w14:paraId="3792420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在其他企业工作期间，对企业发生的重大安全责任事故或环境污染等问题负有直接责任的:</w:t>
      </w:r>
    </w:p>
    <w:p w14:paraId="7B670B4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在其他企业工作期间，严重违反公司规章制度，履职过程中对任职企业或出资人有失信行为的;</w:t>
      </w:r>
    </w:p>
    <w:p w14:paraId="67D71D8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在招聘过程中存在舞弊行为的，存在提供虚假个人资料、隐瞒个人重要信息，欺骗或误导组织的，包括但不限于伪造或涂改学历、学位、专业技术资格、职业资格、获奖证明等资质材料，伪造工作经历或工作业绩，与实际情况明显不符的;</w:t>
      </w:r>
    </w:p>
    <w:p w14:paraId="07D2F3F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与原任职企业存在有效竞业限制协议，且业务属于竞业限制协议约束范围内的;</w:t>
      </w:r>
    </w:p>
    <w:p w14:paraId="4DBE873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有拟任职企业应当禁止的行为的，包括但不限于:散布有损国家声誉的言论，组织或者参加旨在反对国家的集会、游行、示威活动;组织或者参加非法组织的;弄虚作假，误导、欺骗组织或公众的;贪污、行贿、受贿，利用职务之便、职务影响为自己或者他人谋取私利的;违反财经纪律，浪费国家或集体资财的;滥用职权，侵害公民、法人或者其他组织的合法权益的; 泄露国家秘密或者工作秘密的;在对外交往中损害国家荣誉和利益的;参与或者支持色情、吸毒、赌博、迷信等活动的。</w:t>
      </w:r>
    </w:p>
    <w:p w14:paraId="1990A13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《中华人民共和国公司法》以及国家相关行业管理部门制定的法律法规、规章另有规定的:</w:t>
      </w:r>
    </w:p>
    <w:p w14:paraId="05FD278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配偶已移居国(境)外的，或没有配偶但子女均已移居国(境)外人员不得作为下属各级全资和控股企业正职人选不得在掌握重大商业机密或其他重大机密的岗位任职，属海外高层次人才引进的按有关规定执行;</w:t>
      </w:r>
    </w:p>
    <w:p w14:paraId="03F0CB3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 xml:space="preserve">其他不符合企业招聘资格或条件的，或上级文件规定不适合招录的。 </w:t>
      </w:r>
    </w:p>
    <w:p w14:paraId="3FE4AC0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黑体" w:hAnsi="黑体" w:eastAsia="黑体" w:cs="黑体"/>
          <w:sz w:val="32"/>
          <w:szCs w:val="32"/>
        </w:rPr>
      </w:pPr>
      <w:bookmarkStart w:id="27" w:name="_Toc18411"/>
      <w:bookmarkStart w:id="28" w:name="_Toc31201"/>
      <w:bookmarkStart w:id="29" w:name="_Toc2306"/>
      <w:r>
        <w:rPr>
          <w:rFonts w:hint="eastAsia" w:ascii="黑体" w:hAnsi="黑体" w:eastAsia="黑体" w:cs="黑体"/>
          <w:sz w:val="32"/>
          <w:szCs w:val="32"/>
          <w:lang w:val="en-US" w:eastAsia="zh-CN"/>
        </w:rPr>
        <w:t>三、</w:t>
      </w:r>
      <w:r>
        <w:rPr>
          <w:rFonts w:hint="eastAsia" w:ascii="黑体" w:hAnsi="黑体" w:eastAsia="黑体" w:cs="黑体"/>
          <w:sz w:val="32"/>
          <w:szCs w:val="32"/>
        </w:rPr>
        <w:t>选报岗位须知</w:t>
      </w:r>
      <w:bookmarkEnd w:id="27"/>
      <w:bookmarkEnd w:id="28"/>
      <w:bookmarkEnd w:id="29"/>
    </w:p>
    <w:p w14:paraId="6A4C6A0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楷体_GB2312" w:hAnsi="楷体_GB2312" w:eastAsia="楷体_GB2312" w:cs="楷体_GB2312"/>
          <w:b/>
          <w:bCs/>
          <w:sz w:val="32"/>
          <w:szCs w:val="32"/>
        </w:rPr>
      </w:pPr>
      <w:bookmarkStart w:id="30" w:name="_Toc5898"/>
      <w:bookmarkStart w:id="31" w:name="_Toc14652"/>
      <w:bookmarkStart w:id="32" w:name="_Toc28860"/>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rPr>
        <w:t>报考资格条件确认</w:t>
      </w:r>
      <w:bookmarkEnd w:id="30"/>
      <w:bookmarkEnd w:id="31"/>
      <w:bookmarkEnd w:id="32"/>
    </w:p>
    <w:p w14:paraId="4311C46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报考者须在报名时，全面、逐项对照招聘岗位和招聘简章等要求，确认符合报考资格条件。 </w:t>
      </w:r>
    </w:p>
    <w:p w14:paraId="5501771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楷体_GB2312" w:hAnsi="楷体_GB2312" w:eastAsia="楷体_GB2312" w:cs="楷体_GB2312"/>
          <w:b/>
          <w:bCs/>
          <w:sz w:val="32"/>
          <w:szCs w:val="32"/>
        </w:rPr>
      </w:pPr>
      <w:bookmarkStart w:id="33" w:name="_Toc10560"/>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rPr>
        <w:t>简历填写</w:t>
      </w:r>
      <w:bookmarkEnd w:id="33"/>
    </w:p>
    <w:p w14:paraId="74C8D02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bookmarkStart w:id="34" w:name="_Toc28349"/>
      <w:bookmarkStart w:id="35" w:name="_Toc29293"/>
      <w:bookmarkStart w:id="36" w:name="_Toc5535"/>
      <w:bookmarkStart w:id="37" w:name="_Toc11175"/>
      <w:bookmarkStart w:id="38" w:name="_Toc4830"/>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报考者须如实反映各阶段的就学、就业、待业等状态，原则上应从高中起填写。</w:t>
      </w:r>
      <w:bookmarkEnd w:id="34"/>
      <w:bookmarkEnd w:id="35"/>
      <w:bookmarkEnd w:id="36"/>
      <w:bookmarkEnd w:id="37"/>
      <w:bookmarkEnd w:id="38"/>
    </w:p>
    <w:p w14:paraId="3236255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在机关事业单位工作的，须注明单位性质（机关、参公单位、非参公事业单位）和本人身份（公务员、参公事业编制人员、非参公事业编制人员、编外人员）。</w:t>
      </w:r>
    </w:p>
    <w:p w14:paraId="0D2A911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部队、武警相关单位工作人员须注明“现役人员”还是“非现役文职人员”，或者“合同制职员”等。</w:t>
      </w:r>
    </w:p>
    <w:p w14:paraId="22C1DAF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在读人员须注明教育类别是“全日制普教”还是“非全日制普教”。</w:t>
      </w:r>
    </w:p>
    <w:p w14:paraId="2A9204C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楷体_GB2312" w:hAnsi="楷体_GB2312" w:eastAsia="楷体_GB2312" w:cs="楷体_GB2312"/>
          <w:b/>
          <w:bCs/>
          <w:sz w:val="32"/>
          <w:szCs w:val="32"/>
        </w:rPr>
      </w:pPr>
      <w:bookmarkStart w:id="39" w:name="_Toc23560"/>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回避情形</w:t>
      </w:r>
      <w:bookmarkEnd w:id="39"/>
    </w:p>
    <w:p w14:paraId="792658A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人员凡有下列亲属关系的，不得在同一单位录用至具有直接上下级领导关系的管理岗位，不得在其中一方担任领导人员的单位录用至从事组织(人事)、纪检监察、审计、财务工作的岗位，也不得录用至双方直接隶属于同一领导人员的从事组织(人事)、纪检监察、审计、财务工作的内设机构正职岗位：</w:t>
      </w:r>
    </w:p>
    <w:p w14:paraId="74AFC42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1.夫妻关系;</w:t>
      </w:r>
    </w:p>
    <w:p w14:paraId="5F05C1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2.直系血亲关系，包括祖父母、外祖父母、父母、子女、孙子女、外孙子女;</w:t>
      </w:r>
    </w:p>
    <w:p w14:paraId="720357E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3.三代以内旁系血亲关系，包括叔伯姑舅姨、兄弟姐妹、堂兄弟姐妹、表兄弟姐妹、侄子女、甥子女;</w:t>
      </w:r>
    </w:p>
    <w:p w14:paraId="3085DE7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4.近姻亲关系，包括配偶的父母、配偶的兄弟姐妹及其配偶、子女的配偶及子女配偶的父母、三代以内旁系血亲的配偶;</w:t>
      </w:r>
    </w:p>
    <w:p w14:paraId="68451D7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5.其他亲属关系，包括养父母子女、形成抚养关系的继父母子女及由此形成的直系血亲、三代以内旁系血亲和近姻亲关系。</w:t>
      </w:r>
    </w:p>
    <w:p w14:paraId="7051C4C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所称直接上下级领导关系包括：</w:t>
      </w:r>
    </w:p>
    <w:p w14:paraId="5E837B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1.领导班子正职与副职;</w:t>
      </w:r>
    </w:p>
    <w:p w14:paraId="0D18C66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2.同一内设机构正职与副职;</w:t>
      </w:r>
    </w:p>
    <w:p w14:paraId="17AED93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3.上级正职、副职与下级正职;</w:t>
      </w:r>
    </w:p>
    <w:p w14:paraId="2E1AB70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4.单位无内设机构的，其正职、副职与其他管理人员以及从事审计、财务工作的专业技术人员;</w:t>
      </w:r>
    </w:p>
    <w:p w14:paraId="032488D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5.内设机构无下一级单位的，其正职、副职与其他管理人员以及从事审计、财务工作的专业技术人员。</w:t>
      </w:r>
    </w:p>
    <w:p w14:paraId="392E958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从事招聘工作的人员存在应当回避情形的，须实行履职回避。</w:t>
      </w:r>
    </w:p>
    <w:p w14:paraId="5B6302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黑体" w:hAnsi="黑体" w:eastAsia="黑体" w:cs="黑体"/>
          <w:sz w:val="32"/>
          <w:szCs w:val="32"/>
        </w:rPr>
      </w:pPr>
      <w:bookmarkStart w:id="40" w:name="_Toc14467"/>
      <w:bookmarkStart w:id="41" w:name="_Toc21604"/>
      <w:bookmarkStart w:id="42" w:name="_Toc27748"/>
      <w:r>
        <w:rPr>
          <w:rFonts w:hint="eastAsia" w:ascii="黑体" w:hAnsi="黑体" w:eastAsia="黑体" w:cs="黑体"/>
          <w:sz w:val="32"/>
          <w:szCs w:val="32"/>
          <w:lang w:val="en-US" w:eastAsia="zh-CN"/>
        </w:rPr>
        <w:t>四、</w:t>
      </w:r>
      <w:r>
        <w:rPr>
          <w:rFonts w:hint="eastAsia" w:ascii="黑体" w:hAnsi="黑体" w:eastAsia="黑体" w:cs="黑体"/>
          <w:sz w:val="32"/>
          <w:szCs w:val="32"/>
        </w:rPr>
        <w:t>年龄、资格（历）等的计算办法</w:t>
      </w:r>
      <w:bookmarkEnd w:id="40"/>
      <w:bookmarkEnd w:id="41"/>
      <w:bookmarkEnd w:id="42"/>
    </w:p>
    <w:p w14:paraId="12B0E6B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如无特别说明，相关年限的计算、证书取得时间等，均指计算截至报名截止当月（202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p>
    <w:p w14:paraId="04F26DD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楷体_GB2312" w:hAnsi="楷体_GB2312" w:eastAsia="楷体_GB2312" w:cs="楷体_GB2312"/>
          <w:b/>
          <w:bCs/>
          <w:sz w:val="32"/>
          <w:szCs w:val="32"/>
        </w:rPr>
      </w:pPr>
      <w:bookmarkStart w:id="43" w:name="_Toc18465"/>
      <w:r>
        <w:rPr>
          <w:rFonts w:hint="eastAsia" w:ascii="楷体_GB2312" w:hAnsi="楷体_GB2312" w:eastAsia="楷体_GB2312" w:cs="楷体_GB2312"/>
          <w:b/>
          <w:bCs/>
          <w:sz w:val="32"/>
          <w:szCs w:val="32"/>
        </w:rPr>
        <w:t>（一）年龄</w:t>
      </w:r>
      <w:bookmarkEnd w:id="43"/>
    </w:p>
    <w:p w14:paraId="55B6848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最高年龄要求</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周岁是指已满18周岁、未满</w:t>
      </w:r>
      <w:r>
        <w:rPr>
          <w:rFonts w:hint="eastAsia" w:ascii="仿宋_GB2312" w:hAnsi="仿宋_GB2312" w:eastAsia="仿宋_GB2312" w:cs="仿宋_GB2312"/>
          <w:sz w:val="32"/>
          <w:szCs w:val="32"/>
          <w:lang w:val="en-US" w:eastAsia="zh-CN"/>
        </w:rPr>
        <w:t>41</w:t>
      </w:r>
      <w:r>
        <w:rPr>
          <w:rFonts w:hint="eastAsia" w:ascii="仿宋_GB2312" w:hAnsi="仿宋_GB2312" w:eastAsia="仿宋_GB2312" w:cs="仿宋_GB2312"/>
          <w:sz w:val="32"/>
          <w:szCs w:val="32"/>
        </w:rPr>
        <w:t>周岁（在198</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年8月至200</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年8月期间出生的人员），具体计算到月。</w:t>
      </w:r>
    </w:p>
    <w:p w14:paraId="59D88F5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其他年龄要求按此类推。</w:t>
      </w:r>
    </w:p>
    <w:p w14:paraId="765EB43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楷体_GB2312" w:hAnsi="楷体_GB2312" w:eastAsia="楷体_GB2312" w:cs="楷体_GB2312"/>
          <w:b/>
          <w:bCs/>
          <w:sz w:val="32"/>
          <w:szCs w:val="32"/>
        </w:rPr>
      </w:pPr>
      <w:bookmarkStart w:id="44" w:name="_Toc14759"/>
      <w:r>
        <w:rPr>
          <w:rFonts w:hint="eastAsia" w:ascii="楷体_GB2312" w:hAnsi="楷体_GB2312" w:eastAsia="楷体_GB2312" w:cs="楷体_GB2312"/>
          <w:b/>
          <w:bCs/>
          <w:sz w:val="32"/>
          <w:szCs w:val="32"/>
        </w:rPr>
        <w:t>（二）资格（历）等</w:t>
      </w:r>
      <w:bookmarkEnd w:id="44"/>
    </w:p>
    <w:p w14:paraId="544F82D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岗位资格条件、《简章》和《报考须知》要求具有××条件以上的，如无特别说明，均含本数。如：具有2年以上工作经历，指截至报名截止当月具有2年或2年以上工作经历。</w:t>
      </w:r>
    </w:p>
    <w:p w14:paraId="3077A52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黑体" w:hAnsi="黑体" w:eastAsia="黑体" w:cs="黑体"/>
          <w:sz w:val="32"/>
          <w:szCs w:val="32"/>
        </w:rPr>
      </w:pPr>
      <w:bookmarkStart w:id="45" w:name="_Toc15826"/>
      <w:bookmarkStart w:id="46" w:name="_Toc14880"/>
      <w:bookmarkStart w:id="47" w:name="_Toc5455"/>
      <w:r>
        <w:rPr>
          <w:rFonts w:hint="eastAsia" w:ascii="黑体" w:hAnsi="黑体" w:eastAsia="黑体" w:cs="黑体"/>
          <w:sz w:val="32"/>
          <w:szCs w:val="32"/>
          <w:lang w:val="en-US" w:eastAsia="zh-CN"/>
        </w:rPr>
        <w:t>五、</w:t>
      </w:r>
      <w:r>
        <w:rPr>
          <w:rFonts w:hint="eastAsia" w:ascii="黑体" w:hAnsi="黑体" w:eastAsia="黑体" w:cs="黑体"/>
          <w:sz w:val="32"/>
          <w:szCs w:val="32"/>
        </w:rPr>
        <w:t>学历（位）认定</w:t>
      </w:r>
      <w:bookmarkEnd w:id="45"/>
      <w:bookmarkEnd w:id="46"/>
      <w:bookmarkEnd w:id="47"/>
    </w:p>
    <w:p w14:paraId="5127E6F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bookmarkStart w:id="48" w:name="_Toc14664"/>
      <w:r>
        <w:rPr>
          <w:rFonts w:hint="eastAsia" w:ascii="仿宋_GB2312" w:hAnsi="仿宋_GB2312" w:eastAsia="仿宋_GB2312" w:cs="仿宋_GB2312"/>
          <w:sz w:val="32"/>
          <w:szCs w:val="32"/>
        </w:rPr>
        <w:t>报考者的学历应为国家承认的国民教育序列学历。</w:t>
      </w:r>
    </w:p>
    <w:p w14:paraId="3F7A0B8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楷体_GB2312" w:hAnsi="楷体_GB2312" w:eastAsia="楷体_GB2312" w:cs="楷体_GB2312"/>
          <w:b/>
          <w:bCs/>
          <w:sz w:val="32"/>
          <w:szCs w:val="32"/>
        </w:rPr>
      </w:pPr>
      <w:bookmarkStart w:id="49" w:name="_Toc30300"/>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rPr>
        <w:t>境内学历（位）</w:t>
      </w:r>
      <w:bookmarkEnd w:id="48"/>
      <w:bookmarkEnd w:id="49"/>
    </w:p>
    <w:p w14:paraId="288A58E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于报考的学历（位）（含自学考试、成人教育、网络教育、夜大、电大等）应在中国高等教育学生信息网（简称“学信网”，http://www.chsi.com.cn/）上可查询认证。已取得国家承认的列入国民教育序列学历的报考者，以辅修专业报考的，其专业资格也可以按照本人同时收录在“学信网”“学信档案”版块“学历信息”和“学位信息”栏目的辅修专业信息予以认定。</w:t>
      </w:r>
    </w:p>
    <w:p w14:paraId="6810D8C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楷体_GB2312" w:hAnsi="楷体_GB2312" w:eastAsia="楷体_GB2312" w:cs="楷体_GB2312"/>
          <w:b/>
          <w:bCs/>
          <w:sz w:val="32"/>
          <w:szCs w:val="32"/>
        </w:rPr>
      </w:pPr>
      <w:bookmarkStart w:id="50" w:name="_Toc10520"/>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rPr>
        <w:t>第二学士学位</w:t>
      </w:r>
      <w:bookmarkEnd w:id="50"/>
    </w:p>
    <w:p w14:paraId="6D82F6F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根据《教育部办公厅关于在普通高校继续开展第二学士学位教育的通知》（教高厅函〔2020〕9号）取得第二学士学位的毕业证书和学位证书，按上述要求进行查询认证。</w:t>
      </w:r>
    </w:p>
    <w:p w14:paraId="1840960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楷体_GB2312" w:hAnsi="楷体_GB2312" w:eastAsia="楷体_GB2312" w:cs="楷体_GB2312"/>
          <w:b/>
          <w:bCs/>
          <w:sz w:val="32"/>
          <w:szCs w:val="32"/>
        </w:rPr>
      </w:pPr>
      <w:bookmarkStart w:id="51" w:name="_Toc14695"/>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国（境）外学历（位）</w:t>
      </w:r>
      <w:bookmarkEnd w:id="51"/>
    </w:p>
    <w:p w14:paraId="7013A1E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持境外学历（位）报考的，或者属于国内院校与国外院校联合办学取得境外学历（位）的，应提供教育部留学服务中心出具的有效证明材料。</w:t>
      </w:r>
    </w:p>
    <w:p w14:paraId="1E1025D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楷体_GB2312" w:hAnsi="楷体_GB2312" w:eastAsia="楷体_GB2312" w:cs="楷体_GB2312"/>
          <w:b/>
          <w:bCs/>
          <w:sz w:val="32"/>
          <w:szCs w:val="32"/>
        </w:rPr>
      </w:pPr>
      <w:bookmarkStart w:id="52" w:name="_Toc20582"/>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rPr>
        <w:t>我省“双学位”“双专业”学历</w:t>
      </w:r>
      <w:bookmarkEnd w:id="52"/>
    </w:p>
    <w:p w14:paraId="374F2DE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根据《关于在全省高校毕业生中试行“双学位”“双专业”教育的意见》（闽教高〔2009〕9号），经修读达到毕业条件并获得“双学位”“双专业”证书的报考者，在本省范围内承认其学历、学位。</w:t>
      </w:r>
    </w:p>
    <w:p w14:paraId="4853E2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黑体" w:hAnsi="黑体" w:eastAsia="黑体" w:cs="黑体"/>
          <w:b w:val="0"/>
          <w:bCs w:val="0"/>
          <w:sz w:val="32"/>
          <w:szCs w:val="32"/>
        </w:rPr>
      </w:pPr>
      <w:bookmarkStart w:id="53" w:name="_Toc12120"/>
      <w:bookmarkStart w:id="54" w:name="_Toc24401"/>
      <w:bookmarkStart w:id="55" w:name="_Toc16464"/>
      <w:r>
        <w:rPr>
          <w:rFonts w:hint="eastAsia" w:ascii="黑体" w:hAnsi="黑体" w:eastAsia="黑体" w:cs="黑体"/>
          <w:b w:val="0"/>
          <w:bCs w:val="0"/>
          <w:sz w:val="32"/>
          <w:szCs w:val="32"/>
          <w:lang w:val="en-US" w:eastAsia="zh-CN"/>
        </w:rPr>
        <w:t>六、</w:t>
      </w:r>
      <w:r>
        <w:rPr>
          <w:rFonts w:hint="eastAsia" w:ascii="黑体" w:hAnsi="黑体" w:eastAsia="黑体" w:cs="黑体"/>
          <w:b w:val="0"/>
          <w:bCs w:val="0"/>
          <w:sz w:val="32"/>
          <w:szCs w:val="32"/>
        </w:rPr>
        <w:t>专业</w:t>
      </w:r>
      <w:bookmarkEnd w:id="53"/>
    </w:p>
    <w:p w14:paraId="550A3C4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本次招考以《福建省2026年度考试录用公务员专业指导目录》（文中简称《专业指导目录》）作为岗位专业条件设置和审核的依据。其他来源的专业指导目录不作为本次报考和审核的依据。</w:t>
      </w:r>
    </w:p>
    <w:p w14:paraId="24FF405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楷体_GB2312" w:hAnsi="楷体_GB2312" w:eastAsia="楷体_GB2312" w:cs="楷体_GB2312"/>
          <w:b/>
          <w:bCs/>
          <w:sz w:val="32"/>
          <w:szCs w:val="32"/>
        </w:rPr>
      </w:pPr>
      <w:bookmarkStart w:id="56" w:name="_Toc29606"/>
      <w:r>
        <w:rPr>
          <w:rFonts w:hint="eastAsia" w:ascii="楷体_GB2312" w:hAnsi="楷体_GB2312" w:eastAsia="楷体_GB2312" w:cs="楷体_GB2312"/>
          <w:b/>
          <w:bCs/>
          <w:sz w:val="32"/>
          <w:szCs w:val="32"/>
        </w:rPr>
        <w:t>（一）填报专业名称</w:t>
      </w:r>
      <w:bookmarkEnd w:id="56"/>
    </w:p>
    <w:p w14:paraId="29AAB69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专业以毕业证书上注明的为准，报考者应只字不差、如实填写。</w:t>
      </w:r>
    </w:p>
    <w:p w14:paraId="1B6B1F6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若所学专业在招生和培养时有专业方向、但未在毕业证书上体现的，应先按照毕业证书上注明的专业填写，并在网络报名系统的考生信息表备注栏中说明，再按照招聘单位要求提供学校教务部门出具的证明材料。</w:t>
      </w:r>
    </w:p>
    <w:p w14:paraId="3CBD7D0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以境外学历报考且专业名称为非汉语的，以教育部留学服务中心出具的相关证明为准。</w:t>
      </w:r>
    </w:p>
    <w:p w14:paraId="147306F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仿宋_GB2312" w:hAnsi="仿宋_GB2312" w:eastAsia="仿宋_GB2312" w:cs="仿宋_GB2312"/>
          <w:sz w:val="32"/>
          <w:szCs w:val="32"/>
        </w:rPr>
      </w:pPr>
      <w:bookmarkStart w:id="57" w:name="_Toc23677"/>
      <w:r>
        <w:rPr>
          <w:rFonts w:hint="eastAsia" w:ascii="楷体_GB2312" w:hAnsi="楷体_GB2312" w:eastAsia="楷体_GB2312" w:cs="楷体_GB2312"/>
          <w:b/>
          <w:bCs/>
          <w:sz w:val="32"/>
          <w:szCs w:val="32"/>
        </w:rPr>
        <w:t>（二）专业与学历（位）的对应关系</w:t>
      </w:r>
      <w:bookmarkEnd w:id="57"/>
    </w:p>
    <w:p w14:paraId="7B2F390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所需专业与报考者的毕业证书专业应当一致，岗位资格条件要求的学历(位)原则上须为岗位所要求的专业对应的学历(位)及以上学历(位)，但报考者如果已符合岗位资格条件中最低学历(位)要求而持有岗位专业要求的同级或更高级学历或学位的，也可报考。</w:t>
      </w:r>
    </w:p>
    <w:p w14:paraId="2317AA7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例如，岗位要求本科学历、学士学位、工商管理专业。</w:t>
      </w:r>
    </w:p>
    <w:p w14:paraId="6CF65F5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考生A：取得英语专业本科学历、学士学位，后读取工商管理专业硕士学位（单证，无学历），该考生可报考该岗位。</w:t>
      </w:r>
    </w:p>
    <w:p w14:paraId="196921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考生B：取得英语专业本科学历、学士学位，后攻读工商管理专业硕士研究生（仅取得研究生学历未获硕士学位），该考生可报考该岗位。</w:t>
      </w:r>
    </w:p>
    <w:p w14:paraId="16E68D1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考生C：取得英语专业本科学历、学士学位，辅修工商管理专业取得学士学位，该考生可报考该岗位。</w:t>
      </w:r>
    </w:p>
    <w:p w14:paraId="1D8090E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考生D：取得英语专业本科学历、学士学位，函授工商管理专业取得本科学历，该考生可报考该岗位。</w:t>
      </w:r>
    </w:p>
    <w:p w14:paraId="1F1BE15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考生E：取得工商管理专业大专学历，专升本取得英语专业本科学历、学士学位，该考生不能报考该岗位。</w:t>
      </w:r>
    </w:p>
    <w:p w14:paraId="1888C9E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考生F：取得英语专业本科学历（未取得学士学位），取得工商管理专业硕士学位（无学历），该考生可报考该岗位。</w:t>
      </w:r>
    </w:p>
    <w:p w14:paraId="74F819A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考生G：取得英语专业本科学历、学士学位，工商管理专业肄业，该考生不能报考该岗位。</w:t>
      </w:r>
    </w:p>
    <w:p w14:paraId="6D3C62A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楷体_GB2312" w:hAnsi="楷体_GB2312" w:eastAsia="楷体_GB2312" w:cs="楷体_GB2312"/>
          <w:b/>
          <w:bCs/>
          <w:sz w:val="32"/>
          <w:szCs w:val="32"/>
        </w:rPr>
      </w:pPr>
      <w:bookmarkStart w:id="58" w:name="_Toc13601"/>
      <w:r>
        <w:rPr>
          <w:rFonts w:hint="eastAsia" w:ascii="楷体_GB2312" w:hAnsi="楷体_GB2312" w:eastAsia="楷体_GB2312" w:cs="楷体_GB2312"/>
          <w:b/>
          <w:bCs/>
          <w:sz w:val="32"/>
          <w:szCs w:val="32"/>
        </w:rPr>
        <w:t>（三）专业资格的认定</w:t>
      </w:r>
      <w:bookmarkEnd w:id="58"/>
    </w:p>
    <w:p w14:paraId="4057DE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将专业条件设置为“××类”的招聘岗位，报考者所学专业须符合《专业指导目录》中“××类”下所列专业；将专业条件设置为具体专业名称的，报考者所学专业须符合所列专业。</w:t>
      </w:r>
    </w:p>
    <w:p w14:paraId="28A793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若报考者所学专业不在《专业指导目录》中，报考者须提供学历证、学位证、主干课程成绩表、论文发表情况、学校证明等有效凭证，由</w:t>
      </w:r>
      <w:r>
        <w:rPr>
          <w:rFonts w:hint="eastAsia" w:ascii="仿宋_GB2312" w:hAnsi="仿宋_GB2312" w:eastAsia="仿宋_GB2312" w:cs="仿宋_GB2312"/>
          <w:sz w:val="32"/>
          <w:szCs w:val="32"/>
          <w:lang w:val="en-US" w:eastAsia="zh-CN"/>
        </w:rPr>
        <w:t>招聘单位</w:t>
      </w:r>
      <w:r>
        <w:rPr>
          <w:rFonts w:hint="eastAsia" w:ascii="仿宋_GB2312" w:hAnsi="仿宋_GB2312" w:eastAsia="仿宋_GB2312" w:cs="仿宋_GB2312"/>
          <w:sz w:val="32"/>
          <w:szCs w:val="32"/>
        </w:rPr>
        <w:t>负责认定。报考者所学专业只字不差体现在《专业指导目录》中，但未列入招聘岗位所要求的专业，不得报考该岗位。</w:t>
      </w:r>
    </w:p>
    <w:p w14:paraId="5251780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黑体" w:hAnsi="黑体" w:eastAsia="黑体" w:cs="黑体"/>
          <w:sz w:val="32"/>
          <w:szCs w:val="32"/>
          <w:lang w:val="en-US" w:eastAsia="zh-CN"/>
        </w:rPr>
      </w:pPr>
      <w:bookmarkStart w:id="59" w:name="_Toc5226"/>
      <w:r>
        <w:rPr>
          <w:rFonts w:hint="eastAsia" w:ascii="黑体" w:hAnsi="黑体" w:eastAsia="黑体" w:cs="黑体"/>
          <w:sz w:val="32"/>
          <w:szCs w:val="32"/>
          <w:lang w:val="en-US" w:eastAsia="zh-CN"/>
        </w:rPr>
        <w:t>七、工作经历（验）</w:t>
      </w:r>
      <w:bookmarkEnd w:id="59"/>
    </w:p>
    <w:p w14:paraId="7A1A20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资格条件要求的“工作经历”是指在党政机关、国有企业、社团组织，各类企业和非公有制单位及农村工作的经历。自谋职业、个体经营、职业见习等灵活就业人员，也视为具有工作经历。退役士兵在军队服现役经历可视为工作经历。</w:t>
      </w:r>
    </w:p>
    <w:p w14:paraId="3E57F5D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岗位资格条件要求的“工作经验”，应聘人员须提供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社会保险参保缴费情况证明（个人）》</w:t>
      </w:r>
      <w:r>
        <w:rPr>
          <w:rFonts w:hint="eastAsia" w:ascii="仿宋_GB2312" w:hAnsi="仿宋_GB2312" w:eastAsia="仿宋_GB2312" w:cs="仿宋_GB2312"/>
          <w:sz w:val="32"/>
          <w:szCs w:val="32"/>
        </w:rPr>
        <w:t>证明</w:t>
      </w:r>
      <w:r>
        <w:rPr>
          <w:rFonts w:hint="eastAsia" w:ascii="仿宋_GB2312" w:hAnsi="仿宋_GB2312" w:eastAsia="仿宋_GB2312" w:cs="仿宋_GB2312"/>
          <w:sz w:val="32"/>
          <w:szCs w:val="32"/>
          <w:lang w:val="en-US" w:eastAsia="zh-CN"/>
        </w:rPr>
        <w:t>或其他由官方机构出具、具备同等官方效力的工作经历佐证材料（如退役证、个人所得税完税证明等），作为工作经验证明材料</w:t>
      </w:r>
      <w:r>
        <w:rPr>
          <w:rFonts w:hint="eastAsia" w:ascii="仿宋_GB2312" w:hAnsi="仿宋_GB2312" w:eastAsia="仿宋_GB2312" w:cs="仿宋_GB2312"/>
          <w:sz w:val="32"/>
          <w:szCs w:val="32"/>
        </w:rPr>
        <w:t>。全日制普通教育毕业生参加经人社部门核定的职业见习，若从事的工作与招聘岗位要求的专业工作经验相关，其毕业后的职业见习年限可视同工作经验年限。</w:t>
      </w:r>
    </w:p>
    <w:p w14:paraId="7B908E2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全日制普通教育期间的实习、社会实践经历(含兼职工作等)，不能视为工作经历(验)。</w:t>
      </w:r>
    </w:p>
    <w:p w14:paraId="2BF475C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岗位资格条件要求的工作经历（验）年限可以分段按月合并计算。不同单位的工作经历（验）证明可分别开具，累计计算。</w:t>
      </w:r>
    </w:p>
    <w:p w14:paraId="650A9EE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黑体" w:hAnsi="黑体" w:eastAsia="黑体" w:cs="黑体"/>
          <w:sz w:val="32"/>
          <w:szCs w:val="32"/>
        </w:rPr>
      </w:pPr>
      <w:bookmarkStart w:id="60" w:name="_Toc4831"/>
      <w:r>
        <w:rPr>
          <w:rFonts w:hint="eastAsia" w:ascii="黑体" w:hAnsi="黑体" w:eastAsia="黑体" w:cs="黑体"/>
          <w:sz w:val="32"/>
          <w:szCs w:val="32"/>
          <w:lang w:val="en-US" w:eastAsia="zh-CN"/>
        </w:rPr>
        <w:t>八、</w:t>
      </w:r>
      <w:r>
        <w:rPr>
          <w:rFonts w:hint="eastAsia" w:ascii="黑体" w:hAnsi="黑体" w:eastAsia="黑体" w:cs="黑体"/>
          <w:sz w:val="32"/>
          <w:szCs w:val="32"/>
        </w:rPr>
        <w:t>开考比例</w:t>
      </w:r>
      <w:bookmarkEnd w:id="54"/>
      <w:bookmarkEnd w:id="55"/>
      <w:bookmarkEnd w:id="60"/>
    </w:p>
    <w:p w14:paraId="353E7A4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符合岗位资格条件的报名人数与岗位拟招聘人数的比例达不到</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:1的，原则上取消开考或相应减少招聘人数。取消开考、减少招聘人数、降低开考比例的岗位，由招聘单位于报名结束后，根据报名、岗位需求等情况研究决定后在</w:t>
      </w:r>
      <w:r>
        <w:rPr>
          <w:rFonts w:hint="eastAsia" w:ascii="仿宋_GB2312" w:hAnsi="仿宋_GB2312" w:eastAsia="仿宋_GB2312" w:cs="仿宋_GB2312"/>
          <w:sz w:val="32"/>
          <w:szCs w:val="32"/>
          <w:lang w:val="en-US" w:eastAsia="zh-CN"/>
        </w:rPr>
        <w:t>派驻单位公告栏</w:t>
      </w:r>
      <w:r>
        <w:rPr>
          <w:rFonts w:hint="eastAsia" w:ascii="仿宋_GB2312" w:hAnsi="仿宋_GB2312" w:eastAsia="仿宋_GB2312" w:cs="仿宋_GB2312"/>
          <w:sz w:val="32"/>
          <w:szCs w:val="32"/>
        </w:rPr>
        <w:t>另行公布。被取消开考岗位的报考考生同时失去本次考试的资格。</w:t>
      </w:r>
    </w:p>
    <w:p w14:paraId="6E1450E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黑体" w:hAnsi="黑体" w:eastAsia="黑体" w:cs="黑体"/>
          <w:sz w:val="32"/>
          <w:szCs w:val="32"/>
        </w:rPr>
      </w:pPr>
      <w:bookmarkStart w:id="61" w:name="_Toc4597"/>
      <w:bookmarkStart w:id="62" w:name="_Toc17207"/>
      <w:bookmarkStart w:id="63" w:name="_Toc31425"/>
      <w:r>
        <w:rPr>
          <w:rFonts w:hint="eastAsia" w:ascii="黑体" w:hAnsi="黑体" w:eastAsia="黑体" w:cs="黑体"/>
          <w:sz w:val="32"/>
          <w:szCs w:val="32"/>
          <w:lang w:val="en-US" w:eastAsia="zh-CN"/>
        </w:rPr>
        <w:t>九、</w:t>
      </w:r>
      <w:r>
        <w:rPr>
          <w:rFonts w:hint="eastAsia" w:ascii="黑体" w:hAnsi="黑体" w:eastAsia="黑体" w:cs="黑体"/>
          <w:sz w:val="32"/>
          <w:szCs w:val="32"/>
        </w:rPr>
        <w:t>综合成绩计算</w:t>
      </w:r>
      <w:bookmarkEnd w:id="61"/>
      <w:bookmarkEnd w:id="62"/>
      <w:bookmarkEnd w:id="63"/>
    </w:p>
    <w:p w14:paraId="17BD412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综合成绩合格线为60分，综合成绩=笔试成绩×50%+面试成绩×50%。</w:t>
      </w:r>
    </w:p>
    <w:p w14:paraId="64B6E0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笔试成绩、面试成绩、综合成绩均采用四舍五入方式取小数点后2位（必要时可增加小数点位数）。对于综合成绩相同者，按以下顺序进一步确定名次排列：</w:t>
      </w:r>
    </w:p>
    <w:p w14:paraId="7BC0378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按笔试成绩从高到低排列；</w:t>
      </w:r>
    </w:p>
    <w:p w14:paraId="1FBBF33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若笔试成绩依然相同，符合国家、我省或我市文件规定优先对象的，优先进入体检环节。若无优先对象，可由考生协商一致的情况下签名同意自行采取简易方式确定最终进入体检环节人选，或由面试组织部门组织他们重新进行面试，取重新面试成绩较高者进入体检环节。</w:t>
      </w:r>
    </w:p>
    <w:p w14:paraId="46255F9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黑体" w:hAnsi="黑体" w:eastAsia="黑体" w:cs="黑体"/>
          <w:sz w:val="32"/>
          <w:szCs w:val="32"/>
        </w:rPr>
      </w:pPr>
      <w:bookmarkStart w:id="64" w:name="_Toc22870"/>
      <w:bookmarkStart w:id="65" w:name="_Toc21391"/>
      <w:bookmarkStart w:id="66" w:name="_Toc12492"/>
      <w:r>
        <w:rPr>
          <w:rFonts w:hint="eastAsia" w:ascii="黑体" w:hAnsi="黑体" w:eastAsia="黑体" w:cs="黑体"/>
          <w:sz w:val="32"/>
          <w:szCs w:val="32"/>
          <w:lang w:val="en-US" w:eastAsia="zh-CN"/>
        </w:rPr>
        <w:t>十、</w:t>
      </w:r>
      <w:r>
        <w:rPr>
          <w:rFonts w:hint="eastAsia" w:ascii="黑体" w:hAnsi="黑体" w:eastAsia="黑体" w:cs="黑体"/>
          <w:sz w:val="32"/>
          <w:szCs w:val="32"/>
        </w:rPr>
        <w:t>体检和考察</w:t>
      </w:r>
      <w:bookmarkEnd w:id="64"/>
      <w:bookmarkEnd w:id="65"/>
      <w:bookmarkEnd w:id="66"/>
    </w:p>
    <w:p w14:paraId="4B16C6B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楷体_GB2312" w:hAnsi="楷体_GB2312" w:eastAsia="楷体_GB2312" w:cs="楷体_GB2312"/>
          <w:b/>
          <w:bCs/>
          <w:sz w:val="32"/>
          <w:szCs w:val="32"/>
        </w:rPr>
      </w:pPr>
      <w:bookmarkStart w:id="67" w:name="_Toc5905"/>
      <w:bookmarkStart w:id="68" w:name="_Toc30296"/>
      <w:bookmarkStart w:id="69" w:name="_Toc16195"/>
      <w:r>
        <w:rPr>
          <w:rFonts w:hint="eastAsia" w:ascii="楷体_GB2312" w:hAnsi="楷体_GB2312" w:eastAsia="楷体_GB2312" w:cs="楷体_GB2312"/>
          <w:b/>
          <w:bCs/>
          <w:sz w:val="32"/>
          <w:szCs w:val="32"/>
        </w:rPr>
        <w:t>（一）确定体检和考察人选</w:t>
      </w:r>
      <w:bookmarkEnd w:id="67"/>
      <w:bookmarkEnd w:id="68"/>
      <w:bookmarkEnd w:id="69"/>
    </w:p>
    <w:p w14:paraId="20BEE69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从笔试成绩和面试成绩均合格者中，根据综合成绩排名顺序，按岗位拟招聘人数1:1的比例从高分至低分确定体检人选。</w:t>
      </w:r>
    </w:p>
    <w:p w14:paraId="2B47056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楷体_GB2312" w:hAnsi="楷体_GB2312" w:eastAsia="楷体_GB2312" w:cs="楷体_GB2312"/>
          <w:b/>
          <w:bCs/>
          <w:sz w:val="32"/>
          <w:szCs w:val="32"/>
        </w:rPr>
      </w:pPr>
      <w:bookmarkStart w:id="70" w:name="_Toc11341"/>
      <w:bookmarkStart w:id="71" w:name="_Toc28632"/>
      <w:bookmarkStart w:id="72" w:name="_Toc21766"/>
      <w:r>
        <w:rPr>
          <w:rFonts w:hint="eastAsia" w:ascii="楷体_GB2312" w:hAnsi="楷体_GB2312" w:eastAsia="楷体_GB2312" w:cs="楷体_GB2312"/>
          <w:b/>
          <w:bCs/>
          <w:sz w:val="32"/>
          <w:szCs w:val="32"/>
        </w:rPr>
        <w:t>（二）组织体检和考察</w:t>
      </w:r>
      <w:bookmarkEnd w:id="70"/>
      <w:bookmarkEnd w:id="71"/>
      <w:bookmarkEnd w:id="72"/>
    </w:p>
    <w:p w14:paraId="007FE27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体检由招聘单位负责组织实施。体检人员应根据通知按时参加并配合体检，否则，视为放弃资格。</w:t>
      </w:r>
    </w:p>
    <w:p w14:paraId="7A6C74C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楷体_GB2312" w:hAnsi="楷体_GB2312" w:eastAsia="楷体_GB2312" w:cs="楷体_GB2312"/>
          <w:b/>
          <w:bCs/>
          <w:sz w:val="32"/>
          <w:szCs w:val="32"/>
        </w:rPr>
      </w:pPr>
      <w:bookmarkStart w:id="73" w:name="_Toc14541"/>
      <w:bookmarkStart w:id="74" w:name="_Toc28717"/>
      <w:bookmarkStart w:id="75" w:name="_Toc6006"/>
      <w:r>
        <w:rPr>
          <w:rFonts w:hint="eastAsia" w:ascii="楷体_GB2312" w:hAnsi="楷体_GB2312" w:eastAsia="楷体_GB2312" w:cs="楷体_GB2312"/>
          <w:b/>
          <w:bCs/>
          <w:sz w:val="32"/>
          <w:szCs w:val="32"/>
        </w:rPr>
        <w:t>（三）体检依据</w:t>
      </w:r>
      <w:bookmarkEnd w:id="73"/>
      <w:bookmarkEnd w:id="74"/>
      <w:bookmarkEnd w:id="75"/>
    </w:p>
    <w:p w14:paraId="33D0A8D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本次招聘体检参照《公务员录用体检通用标准（试行）》和《公务员录用体检操作手册（试行）》和《关于修订〈公务员录用体检通用标准（试行）〉及〈公务员录</w:t>
      </w:r>
      <w:bookmarkStart w:id="90" w:name="_GoBack"/>
      <w:bookmarkEnd w:id="90"/>
      <w:r>
        <w:rPr>
          <w:rFonts w:hint="eastAsia" w:ascii="仿宋_GB2312" w:hAnsi="仿宋_GB2312" w:eastAsia="仿宋_GB2312" w:cs="仿宋_GB2312"/>
          <w:sz w:val="32"/>
          <w:szCs w:val="32"/>
        </w:rPr>
        <w:t>用体检操作手册（试行）〉的通知》（人社部发〔2016〕140号）等文件的要求,具体检测方法由体检医院结合实际确定。特殊行业或岗位有相应体检标准可另行要求。</w:t>
      </w:r>
    </w:p>
    <w:p w14:paraId="331D9B6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体（复）检费用个人自理。</w:t>
      </w:r>
    </w:p>
    <w:p w14:paraId="0F7079E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楷体_GB2312" w:hAnsi="楷体_GB2312" w:eastAsia="楷体_GB2312" w:cs="楷体_GB2312"/>
          <w:b/>
          <w:bCs/>
          <w:sz w:val="32"/>
          <w:szCs w:val="32"/>
        </w:rPr>
      </w:pPr>
      <w:bookmarkStart w:id="76" w:name="_Toc27783"/>
      <w:bookmarkStart w:id="77" w:name="_Toc3395"/>
      <w:bookmarkStart w:id="78" w:name="_Toc12141"/>
      <w:r>
        <w:rPr>
          <w:rFonts w:hint="eastAsia" w:ascii="楷体_GB2312" w:hAnsi="楷体_GB2312" w:eastAsia="楷体_GB2312" w:cs="楷体_GB2312"/>
          <w:b/>
          <w:bCs/>
          <w:sz w:val="32"/>
          <w:szCs w:val="32"/>
        </w:rPr>
        <w:t>（四）体检复检</w:t>
      </w:r>
      <w:bookmarkEnd w:id="76"/>
      <w:bookmarkEnd w:id="77"/>
      <w:bookmarkEnd w:id="78"/>
    </w:p>
    <w:p w14:paraId="440D1F5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复检参照人力资源社会保障部、卫生部、国家公务员《关于进一步做好公务员考试录用体检工作的通知》(人社部发〔2012〕65号)的有关规定执行，其中：</w:t>
      </w:r>
    </w:p>
    <w:p w14:paraId="76753DC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对心率、视力、听力、血压等项目达不到体检合格标准的，安排当日复检；对边缘性心脏杂音、病理性心电图、病理性杂音、频发早搏（心电图证实）等项目达不到体检合格标准的，安排当场复检。</w:t>
      </w:r>
    </w:p>
    <w:p w14:paraId="7BCE82D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考生对非当日或非当场复检的体检项目结果有疑问时，可以在接到体检结论的7日内，向组织体检单位提交复检申请。组织体检的单位另行指定医院复检。复检时不得告知复检项目。复检只能进行1次，体检结论以复检的结果为准。自行体检的结果无效。</w:t>
      </w:r>
    </w:p>
    <w:p w14:paraId="05FC843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3.组织体检单位对体检结论有疑问的，在接到体检结论通知之日起7日内决定是否进行复检。</w:t>
      </w:r>
    </w:p>
    <w:p w14:paraId="7CD15EC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楷体_GB2312" w:hAnsi="楷体_GB2312" w:eastAsia="楷体_GB2312" w:cs="楷体_GB2312"/>
          <w:b/>
          <w:bCs/>
          <w:sz w:val="32"/>
          <w:szCs w:val="32"/>
        </w:rPr>
      </w:pPr>
      <w:bookmarkStart w:id="79" w:name="_Toc28173"/>
      <w:bookmarkStart w:id="80" w:name="_Toc19514"/>
      <w:bookmarkStart w:id="81" w:name="_Toc19039"/>
      <w:r>
        <w:rPr>
          <w:rFonts w:hint="eastAsia" w:ascii="楷体_GB2312" w:hAnsi="楷体_GB2312" w:eastAsia="楷体_GB2312" w:cs="楷体_GB2312"/>
          <w:b/>
          <w:bCs/>
          <w:sz w:val="32"/>
          <w:szCs w:val="32"/>
        </w:rPr>
        <w:t>（五）可延迟体检的情形</w:t>
      </w:r>
      <w:bookmarkEnd w:id="79"/>
      <w:bookmarkEnd w:id="80"/>
      <w:bookmarkEnd w:id="81"/>
    </w:p>
    <w:p w14:paraId="5F351B9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女性报考者因怀孕、哺乳期需申请延期体检的，应提供相应的医学证明并与组织体检单位约定延缓体检的合理期限。</w:t>
      </w:r>
    </w:p>
    <w:p w14:paraId="4971456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楷体_GB2312" w:hAnsi="楷体_GB2312" w:eastAsia="楷体_GB2312" w:cs="楷体_GB2312"/>
          <w:b/>
          <w:bCs/>
          <w:sz w:val="32"/>
          <w:szCs w:val="32"/>
        </w:rPr>
      </w:pPr>
      <w:bookmarkStart w:id="82" w:name="_Toc2155"/>
      <w:bookmarkStart w:id="83" w:name="_Toc3325"/>
      <w:bookmarkStart w:id="84" w:name="_Toc3829"/>
      <w:r>
        <w:rPr>
          <w:rFonts w:hint="eastAsia" w:ascii="楷体_GB2312" w:hAnsi="楷体_GB2312" w:eastAsia="楷体_GB2312" w:cs="楷体_GB2312"/>
          <w:b/>
          <w:bCs/>
          <w:sz w:val="32"/>
          <w:szCs w:val="32"/>
        </w:rPr>
        <w:t>（六）考察</w:t>
      </w:r>
      <w:bookmarkEnd w:id="82"/>
      <w:bookmarkEnd w:id="83"/>
      <w:bookmarkEnd w:id="84"/>
    </w:p>
    <w:p w14:paraId="7D7DFF2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对体检合格的报考人员，由招聘单位组织对其政治思想、道德品质、廉洁自律、能力素质、工作态度、学习及工作表现以及是否需要回避等内容进行考察，并对报考人员资格条件再次进行审核。 </w:t>
      </w:r>
    </w:p>
    <w:p w14:paraId="751072D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察工作前，通过中国执行信息公开网（http://zxgk.court.gov.cn/）核实考察对象有无失信被执行的情况。发现考察对象被列为失信被执行人的，应查看对应案号并联系执行法院，函询、核实被执行人履行义务的进展情况。被执行人已履行义务的，应在招聘单位约定的期限内提供执行法院的书面证明，方可进行考察；尚未履行义务的，取消其录用考察资格。报考者在试用期被列为失信被执行人的，取消其录用资格。</w:t>
      </w:r>
    </w:p>
    <w:p w14:paraId="319EA9F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黑体" w:hAnsi="黑体" w:eastAsia="黑体" w:cs="黑体"/>
          <w:sz w:val="32"/>
          <w:szCs w:val="32"/>
        </w:rPr>
      </w:pPr>
      <w:bookmarkStart w:id="85" w:name="_Toc28661"/>
      <w:bookmarkStart w:id="86" w:name="_Toc7724"/>
      <w:bookmarkStart w:id="87" w:name="_Toc1824"/>
      <w:r>
        <w:rPr>
          <w:rFonts w:hint="eastAsia" w:ascii="黑体" w:hAnsi="黑体" w:eastAsia="黑体" w:cs="黑体"/>
          <w:sz w:val="32"/>
          <w:szCs w:val="32"/>
          <w:lang w:val="en-US" w:eastAsia="zh-CN"/>
        </w:rPr>
        <w:t>十一、</w:t>
      </w:r>
      <w:r>
        <w:rPr>
          <w:rFonts w:hint="eastAsia" w:ascii="黑体" w:hAnsi="黑体" w:eastAsia="黑体" w:cs="黑体"/>
          <w:sz w:val="32"/>
          <w:szCs w:val="32"/>
        </w:rPr>
        <w:t>拟录用公示</w:t>
      </w:r>
      <w:bookmarkEnd w:id="85"/>
      <w:bookmarkEnd w:id="86"/>
      <w:bookmarkEnd w:id="87"/>
    </w:p>
    <w:p w14:paraId="6704CDC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根据岗位要求以及考试、体检、考察结果，确定拟录用人员名单，</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集美区政府官方网站政府公告栏公示7日。公示内容包括招聘单位名称、招聘岗位、拟录用人员基本信息等。</w:t>
      </w:r>
    </w:p>
    <w:p w14:paraId="2639EEB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黑体" w:hAnsi="黑体" w:eastAsia="黑体" w:cs="黑体"/>
          <w:sz w:val="32"/>
          <w:szCs w:val="32"/>
        </w:rPr>
      </w:pPr>
      <w:bookmarkStart w:id="88" w:name="_Toc10588"/>
      <w:bookmarkStart w:id="89" w:name="_Toc31306"/>
      <w:r>
        <w:rPr>
          <w:rFonts w:hint="eastAsia" w:ascii="黑体" w:hAnsi="黑体" w:eastAsia="黑体" w:cs="黑体"/>
          <w:sz w:val="32"/>
          <w:szCs w:val="32"/>
          <w:lang w:val="en-US" w:eastAsia="zh-CN"/>
        </w:rPr>
        <w:t>十二、</w:t>
      </w:r>
      <w:r>
        <w:rPr>
          <w:rFonts w:hint="eastAsia" w:ascii="黑体" w:hAnsi="黑体" w:eastAsia="黑体" w:cs="黑体"/>
          <w:sz w:val="32"/>
          <w:szCs w:val="32"/>
        </w:rPr>
        <w:t>录用</w:t>
      </w:r>
      <w:bookmarkEnd w:id="88"/>
      <w:bookmarkEnd w:id="89"/>
    </w:p>
    <w:p w14:paraId="0A2D759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Cs w:val="28"/>
        </w:rPr>
      </w:pPr>
      <w:r>
        <w:rPr>
          <w:rFonts w:hint="eastAsia" w:ascii="仿宋_GB2312" w:hAnsi="仿宋_GB2312" w:eastAsia="仿宋_GB2312" w:cs="仿宋_GB2312"/>
          <w:sz w:val="32"/>
          <w:szCs w:val="32"/>
        </w:rPr>
        <w:t>公示结果无异议，或经招聘单位核实不影响录用的，拟录人员应于公示期满后3个月内提供办理录用手续所需的材料（含个人人事档案），因情况确实特殊、无法在上述期限内提供完备资料的，与招聘单位协商同意并书面承诺后可适当延长材料提交时限（延长时限原则上不超过2个月），否则视为放弃录用资格。</w:t>
      </w:r>
    </w:p>
    <w:sectPr>
      <w:footerReference r:id="rId4" w:type="default"/>
      <w:pgSz w:w="11906" w:h="16838"/>
      <w:pgMar w:top="1440" w:right="1689" w:bottom="1440" w:left="1689" w:header="851" w:footer="992" w:gutter="0"/>
      <w:pgNumType w:start="3"/>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52B446A-5679-44E5-8D6A-812D8B6F0D0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2" w:fontKey="{AB215C6D-17F6-48C9-B723-8E56BBB2D3D0}"/>
  </w:font>
  <w:font w:name="仿宋_GB2312">
    <w:panose1 w:val="02010609030101010101"/>
    <w:charset w:val="86"/>
    <w:family w:val="auto"/>
    <w:pitch w:val="default"/>
    <w:sig w:usb0="00000001" w:usb1="080E0000" w:usb2="00000000" w:usb3="00000000" w:csb0="00040000" w:csb1="00000000"/>
    <w:embedRegular r:id="rId3" w:fontKey="{DA63E956-A0A4-4C4B-B200-ABD33594251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embedRegular r:id="rId4" w:fontKey="{46F02863-89A1-4EC5-AF3F-35FFCCEEA947}"/>
  </w:font>
  <w:font w:name="方正公文小标宋">
    <w:panose1 w:val="02000500000000000000"/>
    <w:charset w:val="86"/>
    <w:family w:val="auto"/>
    <w:pitch w:val="default"/>
    <w:sig w:usb0="A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embedRegular r:id="rId5" w:fontKey="{02AA0E9B-11C8-4F69-873D-2F9638F5795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3626069"/>
    </w:sdtPr>
    <w:sdtContent>
      <w:p w14:paraId="30378216">
        <w:pPr>
          <w:pStyle w:val="8"/>
          <w:jc w:val="center"/>
        </w:pPr>
        <w:r>
          <w:fldChar w:fldCharType="begin"/>
        </w:r>
        <w:r>
          <w:instrText xml:space="preserve"> PAGE   \* MERGEFORMAT </w:instrText>
        </w:r>
        <w:r>
          <w:fldChar w:fldCharType="separate"/>
        </w:r>
        <w:r>
          <w:rPr>
            <w:lang w:val="zh-CN"/>
          </w:rPr>
          <w:t>2</w:t>
        </w:r>
        <w:r>
          <w:rPr>
            <w:lang w:val="zh-CN"/>
          </w:rPr>
          <w:fldChar w:fldCharType="end"/>
        </w:r>
      </w:p>
    </w:sdtContent>
  </w:sdt>
  <w:p w14:paraId="5DE8CEF2">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C3484">
    <w:pPr>
      <w:pStyle w:val="8"/>
      <w:jc w:val="center"/>
    </w:pPr>
    <w:r>
      <w:fldChar w:fldCharType="begin"/>
    </w:r>
    <w:r>
      <w:instrText xml:space="preserve"> PAGE   \* MERGEFORMAT </w:instrText>
    </w:r>
    <w:r>
      <w:fldChar w:fldCharType="separate"/>
    </w:r>
    <w:r>
      <w:rPr>
        <w:lang w:val="zh-CN"/>
      </w:rPr>
      <w:t>4</w:t>
    </w:r>
    <w:r>
      <w:rPr>
        <w:lang w:val="zh-CN"/>
      </w:rPr>
      <w:fldChar w:fldCharType="end"/>
    </w:r>
  </w:p>
  <w:p w14:paraId="1031ADC3">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2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0ZGVmODNlYzA2ZmJlNmQ0YmZjODQ3YWFiYmQ3ODAifQ=="/>
  </w:docVars>
  <w:rsids>
    <w:rsidRoot w:val="00CA3A16"/>
    <w:rsid w:val="00003543"/>
    <w:rsid w:val="00030ECF"/>
    <w:rsid w:val="0004264F"/>
    <w:rsid w:val="0007382C"/>
    <w:rsid w:val="00074BF4"/>
    <w:rsid w:val="000F4D81"/>
    <w:rsid w:val="00110049"/>
    <w:rsid w:val="00137BC5"/>
    <w:rsid w:val="0014786A"/>
    <w:rsid w:val="00162510"/>
    <w:rsid w:val="001720DC"/>
    <w:rsid w:val="0017732C"/>
    <w:rsid w:val="001942DA"/>
    <w:rsid w:val="00233613"/>
    <w:rsid w:val="00283FFF"/>
    <w:rsid w:val="002C3542"/>
    <w:rsid w:val="002D6ED7"/>
    <w:rsid w:val="003030B0"/>
    <w:rsid w:val="0035464F"/>
    <w:rsid w:val="0036131B"/>
    <w:rsid w:val="00383B61"/>
    <w:rsid w:val="0039564C"/>
    <w:rsid w:val="003C580B"/>
    <w:rsid w:val="003F2091"/>
    <w:rsid w:val="00402F6F"/>
    <w:rsid w:val="00411936"/>
    <w:rsid w:val="00411FF1"/>
    <w:rsid w:val="00413DE3"/>
    <w:rsid w:val="004222E7"/>
    <w:rsid w:val="00445840"/>
    <w:rsid w:val="00467CE9"/>
    <w:rsid w:val="004A44AD"/>
    <w:rsid w:val="004B70E7"/>
    <w:rsid w:val="004C5541"/>
    <w:rsid w:val="0053458D"/>
    <w:rsid w:val="00561A6B"/>
    <w:rsid w:val="00581CE3"/>
    <w:rsid w:val="00583285"/>
    <w:rsid w:val="00590A8B"/>
    <w:rsid w:val="005C7346"/>
    <w:rsid w:val="005D6C68"/>
    <w:rsid w:val="0068774F"/>
    <w:rsid w:val="006C4015"/>
    <w:rsid w:val="006E733C"/>
    <w:rsid w:val="00712334"/>
    <w:rsid w:val="00716B52"/>
    <w:rsid w:val="00764782"/>
    <w:rsid w:val="0077002C"/>
    <w:rsid w:val="007A63C6"/>
    <w:rsid w:val="007C46DB"/>
    <w:rsid w:val="00867B7C"/>
    <w:rsid w:val="008F4E64"/>
    <w:rsid w:val="00927383"/>
    <w:rsid w:val="00952B25"/>
    <w:rsid w:val="00962764"/>
    <w:rsid w:val="00972931"/>
    <w:rsid w:val="00980A85"/>
    <w:rsid w:val="00990910"/>
    <w:rsid w:val="009F0BC1"/>
    <w:rsid w:val="00A62CFA"/>
    <w:rsid w:val="00A70D54"/>
    <w:rsid w:val="00AA508C"/>
    <w:rsid w:val="00AA77D0"/>
    <w:rsid w:val="00AE097D"/>
    <w:rsid w:val="00B06CCE"/>
    <w:rsid w:val="00B2552E"/>
    <w:rsid w:val="00B57EC0"/>
    <w:rsid w:val="00B942D6"/>
    <w:rsid w:val="00B949F5"/>
    <w:rsid w:val="00BB1533"/>
    <w:rsid w:val="00BC6CDB"/>
    <w:rsid w:val="00C43898"/>
    <w:rsid w:val="00C51C1C"/>
    <w:rsid w:val="00C70EFB"/>
    <w:rsid w:val="00CA3A16"/>
    <w:rsid w:val="00D3569E"/>
    <w:rsid w:val="00D360A7"/>
    <w:rsid w:val="00DB54FB"/>
    <w:rsid w:val="00DD18AB"/>
    <w:rsid w:val="00DD761E"/>
    <w:rsid w:val="00E24CA1"/>
    <w:rsid w:val="00E501FF"/>
    <w:rsid w:val="00EC0971"/>
    <w:rsid w:val="00F95A4E"/>
    <w:rsid w:val="00FC0A29"/>
    <w:rsid w:val="012E4057"/>
    <w:rsid w:val="01706B3D"/>
    <w:rsid w:val="01B12C91"/>
    <w:rsid w:val="01C75AB0"/>
    <w:rsid w:val="02395429"/>
    <w:rsid w:val="029C19EF"/>
    <w:rsid w:val="02AF79A2"/>
    <w:rsid w:val="02B963D8"/>
    <w:rsid w:val="030C2E78"/>
    <w:rsid w:val="03195891"/>
    <w:rsid w:val="0431644B"/>
    <w:rsid w:val="060D0DBE"/>
    <w:rsid w:val="063C65E5"/>
    <w:rsid w:val="06B534C8"/>
    <w:rsid w:val="07422A0E"/>
    <w:rsid w:val="0A2926EC"/>
    <w:rsid w:val="0A6E3771"/>
    <w:rsid w:val="0ABE0466"/>
    <w:rsid w:val="0C42075F"/>
    <w:rsid w:val="0C62192F"/>
    <w:rsid w:val="0C9537CF"/>
    <w:rsid w:val="0C97688E"/>
    <w:rsid w:val="0CFA7F8B"/>
    <w:rsid w:val="0EEC0086"/>
    <w:rsid w:val="0EFC1000"/>
    <w:rsid w:val="0F205BD3"/>
    <w:rsid w:val="10D14AA9"/>
    <w:rsid w:val="10E06A90"/>
    <w:rsid w:val="113B14BC"/>
    <w:rsid w:val="11D50F5D"/>
    <w:rsid w:val="127C59E8"/>
    <w:rsid w:val="12B17B3E"/>
    <w:rsid w:val="131F34BF"/>
    <w:rsid w:val="137A7CA3"/>
    <w:rsid w:val="15266970"/>
    <w:rsid w:val="15714F96"/>
    <w:rsid w:val="15A8668A"/>
    <w:rsid w:val="15D95F9E"/>
    <w:rsid w:val="17B1427E"/>
    <w:rsid w:val="18DC4FBF"/>
    <w:rsid w:val="196D50C1"/>
    <w:rsid w:val="19A27AB8"/>
    <w:rsid w:val="1AC018F6"/>
    <w:rsid w:val="1B8F7143"/>
    <w:rsid w:val="1DEB0449"/>
    <w:rsid w:val="1E381C14"/>
    <w:rsid w:val="1FAD1DE7"/>
    <w:rsid w:val="20D11DC7"/>
    <w:rsid w:val="2107136B"/>
    <w:rsid w:val="212E6965"/>
    <w:rsid w:val="21CD6AB5"/>
    <w:rsid w:val="21E55617"/>
    <w:rsid w:val="21F41D88"/>
    <w:rsid w:val="23DA0315"/>
    <w:rsid w:val="24195B2C"/>
    <w:rsid w:val="242714D3"/>
    <w:rsid w:val="248B675C"/>
    <w:rsid w:val="248C709C"/>
    <w:rsid w:val="25454C78"/>
    <w:rsid w:val="25B64A56"/>
    <w:rsid w:val="265E5634"/>
    <w:rsid w:val="265F470D"/>
    <w:rsid w:val="26A01F5B"/>
    <w:rsid w:val="27434329"/>
    <w:rsid w:val="279024A5"/>
    <w:rsid w:val="28654F9C"/>
    <w:rsid w:val="29DC3048"/>
    <w:rsid w:val="2AB93EDB"/>
    <w:rsid w:val="2AD704AB"/>
    <w:rsid w:val="2D0A1C91"/>
    <w:rsid w:val="2D146264"/>
    <w:rsid w:val="2D1620D0"/>
    <w:rsid w:val="2D3D3232"/>
    <w:rsid w:val="2E10141D"/>
    <w:rsid w:val="2ED55ABF"/>
    <w:rsid w:val="2F2D2246"/>
    <w:rsid w:val="2F625217"/>
    <w:rsid w:val="2FF31FA0"/>
    <w:rsid w:val="32FB0AD9"/>
    <w:rsid w:val="330D7063"/>
    <w:rsid w:val="331D1B45"/>
    <w:rsid w:val="34054802"/>
    <w:rsid w:val="34171B12"/>
    <w:rsid w:val="344B248F"/>
    <w:rsid w:val="34586D40"/>
    <w:rsid w:val="36254EF0"/>
    <w:rsid w:val="36433543"/>
    <w:rsid w:val="37EB3EC6"/>
    <w:rsid w:val="388D4A00"/>
    <w:rsid w:val="38A17E31"/>
    <w:rsid w:val="38D52FBD"/>
    <w:rsid w:val="3C5E7563"/>
    <w:rsid w:val="3CAA7142"/>
    <w:rsid w:val="3D3C6670"/>
    <w:rsid w:val="3D5926B2"/>
    <w:rsid w:val="3DF0470A"/>
    <w:rsid w:val="3FE85DB4"/>
    <w:rsid w:val="431A4FDF"/>
    <w:rsid w:val="44A72413"/>
    <w:rsid w:val="45C66CF9"/>
    <w:rsid w:val="45D103AB"/>
    <w:rsid w:val="464E0797"/>
    <w:rsid w:val="46DF3096"/>
    <w:rsid w:val="47240519"/>
    <w:rsid w:val="481815DE"/>
    <w:rsid w:val="4C49019B"/>
    <w:rsid w:val="4C9B4511"/>
    <w:rsid w:val="4D667BAF"/>
    <w:rsid w:val="4E073F0E"/>
    <w:rsid w:val="4E7F2DC3"/>
    <w:rsid w:val="4EBD7FB6"/>
    <w:rsid w:val="4EC918D2"/>
    <w:rsid w:val="4EE73456"/>
    <w:rsid w:val="4FB74EFD"/>
    <w:rsid w:val="50247421"/>
    <w:rsid w:val="50B679B6"/>
    <w:rsid w:val="516A6EC9"/>
    <w:rsid w:val="518C3C05"/>
    <w:rsid w:val="5309324A"/>
    <w:rsid w:val="532638F5"/>
    <w:rsid w:val="53564D9D"/>
    <w:rsid w:val="53B709E5"/>
    <w:rsid w:val="540313D5"/>
    <w:rsid w:val="5471196B"/>
    <w:rsid w:val="54EC7875"/>
    <w:rsid w:val="56BE477A"/>
    <w:rsid w:val="576F2D86"/>
    <w:rsid w:val="579E6CD9"/>
    <w:rsid w:val="5A551433"/>
    <w:rsid w:val="5A9340A0"/>
    <w:rsid w:val="5AAA10A0"/>
    <w:rsid w:val="5AD12093"/>
    <w:rsid w:val="5C033BC0"/>
    <w:rsid w:val="5C372B75"/>
    <w:rsid w:val="5C620362"/>
    <w:rsid w:val="5C976E58"/>
    <w:rsid w:val="5DFF4EA3"/>
    <w:rsid w:val="5EAF79C0"/>
    <w:rsid w:val="5F3A704F"/>
    <w:rsid w:val="600F7F8E"/>
    <w:rsid w:val="605C0E2C"/>
    <w:rsid w:val="62A047CB"/>
    <w:rsid w:val="633A3546"/>
    <w:rsid w:val="6529276A"/>
    <w:rsid w:val="65561D37"/>
    <w:rsid w:val="66361989"/>
    <w:rsid w:val="67587B68"/>
    <w:rsid w:val="697E6A67"/>
    <w:rsid w:val="6A1F5B15"/>
    <w:rsid w:val="6ACA2314"/>
    <w:rsid w:val="6BE172C8"/>
    <w:rsid w:val="6BE8147C"/>
    <w:rsid w:val="6D12534F"/>
    <w:rsid w:val="6D9912B9"/>
    <w:rsid w:val="6ED36C87"/>
    <w:rsid w:val="6F122394"/>
    <w:rsid w:val="6FF90245"/>
    <w:rsid w:val="70C75929"/>
    <w:rsid w:val="70EA56E6"/>
    <w:rsid w:val="70EE53CD"/>
    <w:rsid w:val="713E4CC0"/>
    <w:rsid w:val="7156469D"/>
    <w:rsid w:val="736B2384"/>
    <w:rsid w:val="73B63C77"/>
    <w:rsid w:val="746F7336"/>
    <w:rsid w:val="747852FC"/>
    <w:rsid w:val="74987DD7"/>
    <w:rsid w:val="75A97B3D"/>
    <w:rsid w:val="75B136C4"/>
    <w:rsid w:val="75CD167C"/>
    <w:rsid w:val="777506C5"/>
    <w:rsid w:val="77EC41DA"/>
    <w:rsid w:val="785B6B77"/>
    <w:rsid w:val="78E77648"/>
    <w:rsid w:val="79501600"/>
    <w:rsid w:val="796D3657"/>
    <w:rsid w:val="7A595755"/>
    <w:rsid w:val="7B1F668D"/>
    <w:rsid w:val="7BA730A5"/>
    <w:rsid w:val="7C332019"/>
    <w:rsid w:val="7C8330F5"/>
    <w:rsid w:val="7D2B69F2"/>
    <w:rsid w:val="7DA302C5"/>
    <w:rsid w:val="7F526B1C"/>
    <w:rsid w:val="7FE650A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qFormat="1" w:uiPriority="39"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toc 7"/>
    <w:basedOn w:val="1"/>
    <w:next w:val="1"/>
    <w:semiHidden/>
    <w:unhideWhenUsed/>
    <w:qFormat/>
    <w:uiPriority w:val="39"/>
    <w:pPr>
      <w:ind w:left="2520" w:leftChars="1200"/>
    </w:pPr>
  </w:style>
  <w:style w:type="paragraph" w:styleId="3">
    <w:name w:val="annotation text"/>
    <w:basedOn w:val="1"/>
    <w:semiHidden/>
    <w:unhideWhenUsed/>
    <w:qFormat/>
    <w:uiPriority w:val="99"/>
    <w:pPr>
      <w:jc w:val="left"/>
    </w:pPr>
  </w:style>
  <w:style w:type="paragraph" w:styleId="4">
    <w:name w:val="toc 5"/>
    <w:basedOn w:val="1"/>
    <w:next w:val="1"/>
    <w:semiHidden/>
    <w:unhideWhenUsed/>
    <w:qFormat/>
    <w:uiPriority w:val="39"/>
    <w:pPr>
      <w:ind w:left="1680" w:leftChars="800"/>
    </w:pPr>
  </w:style>
  <w:style w:type="paragraph" w:styleId="5">
    <w:name w:val="toc 3"/>
    <w:basedOn w:val="1"/>
    <w:next w:val="1"/>
    <w:semiHidden/>
    <w:unhideWhenUsed/>
    <w:qFormat/>
    <w:uiPriority w:val="39"/>
    <w:pPr>
      <w:ind w:left="840" w:leftChars="400"/>
    </w:pPr>
  </w:style>
  <w:style w:type="paragraph" w:styleId="6">
    <w:name w:val="toc 8"/>
    <w:basedOn w:val="1"/>
    <w:next w:val="1"/>
    <w:semiHidden/>
    <w:unhideWhenUsed/>
    <w:qFormat/>
    <w:uiPriority w:val="39"/>
    <w:pPr>
      <w:ind w:left="2940" w:leftChars="1400"/>
    </w:pPr>
  </w:style>
  <w:style w:type="paragraph" w:styleId="7">
    <w:name w:val="Balloon Text"/>
    <w:basedOn w:val="1"/>
    <w:link w:val="24"/>
    <w:semiHidden/>
    <w:unhideWhenUsed/>
    <w:qFormat/>
    <w:uiPriority w:val="99"/>
    <w:rPr>
      <w:sz w:val="18"/>
      <w:szCs w:val="18"/>
    </w:rPr>
  </w:style>
  <w:style w:type="paragraph" w:styleId="8">
    <w:name w:val="footer"/>
    <w:basedOn w:val="1"/>
    <w:link w:val="20"/>
    <w:unhideWhenUsed/>
    <w:qFormat/>
    <w:uiPriority w:val="99"/>
    <w:pPr>
      <w:tabs>
        <w:tab w:val="center" w:pos="4153"/>
        <w:tab w:val="right" w:pos="8306"/>
      </w:tabs>
      <w:snapToGrid w:val="0"/>
      <w:jc w:val="left"/>
    </w:pPr>
    <w:rPr>
      <w:sz w:val="18"/>
      <w:szCs w:val="18"/>
    </w:rPr>
  </w:style>
  <w:style w:type="paragraph" w:styleId="9">
    <w:name w:val="header"/>
    <w:basedOn w:val="1"/>
    <w:link w:val="1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tabs>
        <w:tab w:val="right" w:leader="dot" w:pos="8528"/>
      </w:tabs>
      <w:spacing w:line="360" w:lineRule="auto"/>
    </w:pPr>
    <w:rPr>
      <w:rFonts w:ascii="黑体" w:hAnsi="黑体" w:eastAsia="黑体"/>
      <w:bCs/>
      <w:sz w:val="32"/>
      <w:szCs w:val="32"/>
    </w:rPr>
  </w:style>
  <w:style w:type="paragraph" w:styleId="11">
    <w:name w:val="toc 4"/>
    <w:basedOn w:val="1"/>
    <w:next w:val="1"/>
    <w:semiHidden/>
    <w:unhideWhenUsed/>
    <w:qFormat/>
    <w:uiPriority w:val="39"/>
    <w:pPr>
      <w:ind w:left="1260" w:leftChars="600"/>
    </w:pPr>
  </w:style>
  <w:style w:type="paragraph" w:styleId="12">
    <w:name w:val="toc 6"/>
    <w:basedOn w:val="1"/>
    <w:next w:val="1"/>
    <w:semiHidden/>
    <w:unhideWhenUsed/>
    <w:qFormat/>
    <w:uiPriority w:val="39"/>
    <w:pPr>
      <w:ind w:left="2100" w:leftChars="1000"/>
    </w:pPr>
  </w:style>
  <w:style w:type="paragraph" w:styleId="13">
    <w:name w:val="toc 2"/>
    <w:basedOn w:val="1"/>
    <w:next w:val="1"/>
    <w:semiHidden/>
    <w:unhideWhenUsed/>
    <w:qFormat/>
    <w:uiPriority w:val="39"/>
    <w:pPr>
      <w:ind w:left="420" w:leftChars="200"/>
    </w:pPr>
  </w:style>
  <w:style w:type="paragraph" w:styleId="14">
    <w:name w:val="toc 9"/>
    <w:basedOn w:val="1"/>
    <w:next w:val="1"/>
    <w:semiHidden/>
    <w:unhideWhenUsed/>
    <w:qFormat/>
    <w:uiPriority w:val="39"/>
    <w:pPr>
      <w:ind w:left="3360" w:leftChars="1600"/>
    </w:pPr>
  </w:style>
  <w:style w:type="character" w:styleId="17">
    <w:name w:val="Strong"/>
    <w:basedOn w:val="16"/>
    <w:qFormat/>
    <w:uiPriority w:val="22"/>
    <w:rPr>
      <w:b/>
      <w:bCs/>
    </w:rPr>
  </w:style>
  <w:style w:type="character" w:styleId="18">
    <w:name w:val="Hyperlink"/>
    <w:basedOn w:val="16"/>
    <w:semiHidden/>
    <w:unhideWhenUsed/>
    <w:qFormat/>
    <w:uiPriority w:val="99"/>
    <w:rPr>
      <w:color w:val="0000FF"/>
      <w:u w:val="single"/>
    </w:rPr>
  </w:style>
  <w:style w:type="character" w:customStyle="1" w:styleId="19">
    <w:name w:val="页眉 Char"/>
    <w:basedOn w:val="16"/>
    <w:link w:val="9"/>
    <w:semiHidden/>
    <w:qFormat/>
    <w:uiPriority w:val="99"/>
    <w:rPr>
      <w:sz w:val="18"/>
      <w:szCs w:val="18"/>
    </w:rPr>
  </w:style>
  <w:style w:type="character" w:customStyle="1" w:styleId="20">
    <w:name w:val="页脚 Char"/>
    <w:basedOn w:val="16"/>
    <w:link w:val="8"/>
    <w:qFormat/>
    <w:uiPriority w:val="99"/>
    <w:rPr>
      <w:sz w:val="18"/>
      <w:szCs w:val="18"/>
    </w:rPr>
  </w:style>
  <w:style w:type="paragraph" w:customStyle="1" w:styleId="21">
    <w:name w:val="WPSOffice手动目录 1"/>
    <w:qFormat/>
    <w:uiPriority w:val="0"/>
    <w:rPr>
      <w:rFonts w:ascii="Times New Roman" w:hAnsi="Times New Roman" w:eastAsia="宋体" w:cs="Times New Roman"/>
      <w:lang w:val="en-US" w:eastAsia="zh-CN" w:bidi="ar-SA"/>
    </w:rPr>
  </w:style>
  <w:style w:type="paragraph" w:customStyle="1" w:styleId="22">
    <w:name w:val="WPSOffice手动目录 2"/>
    <w:qFormat/>
    <w:uiPriority w:val="0"/>
    <w:pPr>
      <w:ind w:left="200" w:leftChars="200"/>
    </w:pPr>
    <w:rPr>
      <w:rFonts w:ascii="Times New Roman" w:hAnsi="Times New Roman" w:eastAsia="宋体" w:cs="Times New Roman"/>
      <w:lang w:val="en-US" w:eastAsia="zh-CN" w:bidi="ar-SA"/>
    </w:rPr>
  </w:style>
  <w:style w:type="paragraph" w:styleId="23">
    <w:name w:val="List Paragraph"/>
    <w:basedOn w:val="1"/>
    <w:qFormat/>
    <w:uiPriority w:val="99"/>
    <w:pPr>
      <w:ind w:firstLine="420" w:firstLineChars="200"/>
    </w:pPr>
  </w:style>
  <w:style w:type="character" w:customStyle="1" w:styleId="24">
    <w:name w:val="批注框文本 Char"/>
    <w:basedOn w:val="16"/>
    <w:link w:val="7"/>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E185A-15A1-453C-A9E9-75FAC8DC482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6248</Words>
  <Characters>6438</Characters>
  <Lines>1</Lines>
  <Paragraphs>1</Paragraphs>
  <TotalTime>10</TotalTime>
  <ScaleCrop>false</ScaleCrop>
  <LinksUpToDate>false</LinksUpToDate>
  <CharactersWithSpaces>6496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2020-11-05T02:09:00Z</dcterms:created>
  <dc:creator>dell</dc:creator>
  <cp:lastModifiedBy>小泷侠</cp:lastModifiedBy>
  <cp:lastPrinted>2025-07-28T08:55:00Z</cp:lastPrinted>
  <dcterms:modified xsi:type="dcterms:W3CDTF">2026-07-31T02:58:04Z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41BD9C2CD2B74B89A69E1087D257D855_13</vt:lpwstr>
  </property>
  <property fmtid="{D5CDD505-2E9C-101B-9397-08002B2CF9AE}" pid="4" name="KSOTemplateDocerSaveRecord">
    <vt:lpwstr>eyJoZGlkIjoiMzEwNTM5NzYwMDRjMzkwZTVkZjY2ODkwMGIxNGU0OTUiLCJ1c2VySWQiOiIyNzMwNjMyNjAifQ==</vt:lpwstr>
  </property>
</Properties>
</file>