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D7620">
      <w:pPr>
        <w:jc w:val="center"/>
        <w:rPr>
          <w:rFonts w:hint="eastAsia"/>
          <w:lang w:val="en-US" w:eastAsia="zh-CN"/>
        </w:rPr>
      </w:pPr>
      <w:r>
        <w:rPr>
          <w:rFonts w:hint="eastAsia" w:ascii="黑体" w:hAnsi="黑体" w:eastAsia="黑体" w:cs="黑体"/>
          <w:b/>
          <w:bCs/>
          <w:sz w:val="40"/>
          <w:szCs w:val="48"/>
          <w:lang w:val="en-US" w:eastAsia="zh-CN"/>
        </w:rPr>
        <w:t>教师缺口及聘任条件</w:t>
      </w:r>
    </w:p>
    <w:tbl>
      <w:tblPr>
        <w:tblStyle w:val="3"/>
        <w:tblW w:w="142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133"/>
        <w:gridCol w:w="10783"/>
        <w:gridCol w:w="834"/>
        <w:gridCol w:w="841"/>
      </w:tblGrid>
      <w:tr w14:paraId="1AB1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46" w:type="dxa"/>
            <w:vAlign w:val="center"/>
          </w:tcPr>
          <w:p w14:paraId="047A91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序号</w:t>
            </w:r>
          </w:p>
        </w:tc>
        <w:tc>
          <w:tcPr>
            <w:tcW w:w="1133" w:type="dxa"/>
            <w:vAlign w:val="center"/>
          </w:tcPr>
          <w:p w14:paraId="10D917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科目/</w:t>
            </w:r>
          </w:p>
          <w:p w14:paraId="27AB69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专业</w:t>
            </w:r>
          </w:p>
        </w:tc>
        <w:tc>
          <w:tcPr>
            <w:tcW w:w="10783" w:type="dxa"/>
            <w:vAlign w:val="center"/>
          </w:tcPr>
          <w:p w14:paraId="66BDD6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专业条件</w:t>
            </w:r>
          </w:p>
        </w:tc>
        <w:tc>
          <w:tcPr>
            <w:tcW w:w="834" w:type="dxa"/>
            <w:vAlign w:val="center"/>
          </w:tcPr>
          <w:p w14:paraId="25C3BD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数量</w:t>
            </w:r>
          </w:p>
        </w:tc>
        <w:tc>
          <w:tcPr>
            <w:tcW w:w="841" w:type="dxa"/>
            <w:vAlign w:val="center"/>
          </w:tcPr>
          <w:p w14:paraId="30E920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学历</w:t>
            </w:r>
          </w:p>
          <w:p w14:paraId="7ED4BC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要求</w:t>
            </w:r>
          </w:p>
        </w:tc>
      </w:tr>
      <w:tr w14:paraId="467D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646" w:type="dxa"/>
            <w:shd w:val="clear" w:color="auto" w:fill="auto"/>
            <w:vAlign w:val="center"/>
          </w:tcPr>
          <w:p w14:paraId="63F41D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b w:val="0"/>
                <w:bCs w:val="0"/>
                <w:color w:val="auto"/>
                <w:kern w:val="2"/>
                <w:sz w:val="24"/>
                <w:szCs w:val="32"/>
                <w:vertAlign w:val="baseline"/>
                <w:lang w:val="en-US" w:eastAsia="zh-CN" w:bidi="ar-SA"/>
              </w:rPr>
            </w:pPr>
            <w:r>
              <w:rPr>
                <w:rFonts w:hint="eastAsia" w:ascii="方正仿宋_GB2312" w:hAnsi="方正仿宋_GB2312" w:eastAsia="方正仿宋_GB2312" w:cs="方正仿宋_GB2312"/>
                <w:b w:val="0"/>
                <w:bCs w:val="0"/>
                <w:color w:val="auto"/>
                <w:sz w:val="24"/>
                <w:szCs w:val="32"/>
                <w:vertAlign w:val="baseline"/>
                <w:lang w:val="en-US" w:eastAsia="zh-CN"/>
              </w:rPr>
              <w:t>1</w:t>
            </w:r>
          </w:p>
        </w:tc>
        <w:tc>
          <w:tcPr>
            <w:tcW w:w="1133" w:type="dxa"/>
            <w:shd w:val="clear" w:color="auto" w:fill="auto"/>
            <w:vAlign w:val="center"/>
          </w:tcPr>
          <w:p w14:paraId="19DE0A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b w:val="0"/>
                <w:bCs w:val="0"/>
                <w:color w:val="auto"/>
                <w:kern w:val="2"/>
                <w:sz w:val="24"/>
                <w:szCs w:val="32"/>
                <w:vertAlign w:val="baseline"/>
                <w:lang w:val="en-US" w:eastAsia="zh-CN" w:bidi="ar-SA"/>
              </w:rPr>
            </w:pPr>
            <w:r>
              <w:rPr>
                <w:rFonts w:hint="eastAsia" w:ascii="方正仿宋_GB2312" w:hAnsi="方正仿宋_GB2312" w:eastAsia="方正仿宋_GB2312" w:cs="方正仿宋_GB2312"/>
                <w:b w:val="0"/>
                <w:bCs w:val="0"/>
                <w:color w:val="auto"/>
                <w:sz w:val="24"/>
                <w:szCs w:val="32"/>
                <w:lang w:val="en-US" w:eastAsia="zh-CN"/>
              </w:rPr>
              <w:t>英语</w:t>
            </w:r>
          </w:p>
        </w:tc>
        <w:tc>
          <w:tcPr>
            <w:tcW w:w="10783" w:type="dxa"/>
            <w:shd w:val="clear" w:color="auto" w:fill="auto"/>
            <w:vAlign w:val="center"/>
          </w:tcPr>
          <w:p w14:paraId="2242FF48">
            <w:pPr>
              <w:rPr>
                <w:rFonts w:hint="eastAsia" w:ascii="方正仿宋_GB2312" w:hAnsi="方正仿宋_GB2312" w:eastAsia="方正仿宋_GB2312" w:cs="方正仿宋_GB2312"/>
                <w:b w:val="0"/>
                <w:bCs w:val="0"/>
                <w:color w:val="auto"/>
                <w:lang w:val="en-US" w:eastAsia="zh-CN"/>
              </w:rPr>
            </w:pPr>
            <w:r>
              <w:rPr>
                <w:rFonts w:hint="eastAsia" w:ascii="方正仿宋_GB2312" w:hAnsi="方正仿宋_GB2312" w:eastAsia="方正仿宋_GB2312" w:cs="方正仿宋_GB2312"/>
                <w:b w:val="0"/>
                <w:bCs w:val="0"/>
                <w:color w:val="auto"/>
                <w:lang w:val="en-US" w:eastAsia="zh-CN"/>
              </w:rPr>
              <w:t>1.专业范围：英语、商务英语、翻译、外国语言文学类（英语方向）、学科教学（英语）等相关专业。</w:t>
            </w:r>
          </w:p>
          <w:p w14:paraId="486CBE16">
            <w:pPr>
              <w:rPr>
                <w:rFonts w:hint="eastAsia" w:ascii="方正仿宋_GB2312" w:hAnsi="方正仿宋_GB2312" w:eastAsia="方正仿宋_GB2312" w:cs="方正仿宋_GB2312"/>
                <w:b w:val="0"/>
                <w:bCs w:val="0"/>
                <w:color w:val="auto"/>
                <w:lang w:val="en-US" w:eastAsia="zh-CN"/>
              </w:rPr>
            </w:pPr>
            <w:r>
              <w:rPr>
                <w:rFonts w:hint="eastAsia" w:ascii="方正仿宋_GB2312" w:hAnsi="方正仿宋_GB2312" w:eastAsia="方正仿宋_GB2312" w:cs="方正仿宋_GB2312"/>
                <w:b w:val="0"/>
                <w:bCs w:val="0"/>
                <w:color w:val="auto"/>
                <w:lang w:val="en-US" w:eastAsia="zh-CN"/>
              </w:rPr>
              <w:t>2.技能要求：大学英语六级及以上，或专业英语四级及以上；具备流利的英语口语表达与跨文化交流能力。</w:t>
            </w:r>
          </w:p>
          <w:p w14:paraId="52E86E97">
            <w:pPr>
              <w:keepNext w:val="0"/>
              <w:keepLines w:val="0"/>
              <w:widowControl/>
              <w:suppressLineNumbers w:val="0"/>
              <w:jc w:val="left"/>
              <w:rPr>
                <w:rFonts w:hint="eastAsia" w:ascii="方正仿宋_GB2312" w:hAnsi="方正仿宋_GB2312" w:eastAsia="方正仿宋_GB2312" w:cs="方正仿宋_GB2312"/>
                <w:b w:val="0"/>
                <w:bCs w:val="0"/>
                <w:color w:val="auto"/>
                <w:kern w:val="2"/>
                <w:sz w:val="21"/>
                <w:szCs w:val="24"/>
                <w:lang w:val="en-US" w:eastAsia="zh-CN" w:bidi="ar-SA"/>
              </w:rPr>
            </w:pPr>
            <w:r>
              <w:rPr>
                <w:rFonts w:hint="eastAsia" w:ascii="方正仿宋_GB2312" w:hAnsi="方正仿宋_GB2312" w:eastAsia="方正仿宋_GB2312" w:cs="方正仿宋_GB2312"/>
                <w:b w:val="0"/>
                <w:bCs w:val="0"/>
                <w:color w:val="auto"/>
                <w:lang w:val="en-US" w:eastAsia="zh-CN"/>
              </w:rPr>
              <w:t>3.优先条件：师范类毕业生；持有中等职业学校或高级中学英语教师资格证书；有中职英语教学、职教高考辅导经验；普通话水平测试二级乙等及以上；有班主任工作经验。</w:t>
            </w:r>
          </w:p>
        </w:tc>
        <w:tc>
          <w:tcPr>
            <w:tcW w:w="834" w:type="dxa"/>
            <w:shd w:val="clear" w:color="auto" w:fill="auto"/>
            <w:vAlign w:val="center"/>
          </w:tcPr>
          <w:p w14:paraId="0CA16F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b w:val="0"/>
                <w:bCs w:val="0"/>
                <w:color w:val="auto"/>
                <w:kern w:val="2"/>
                <w:sz w:val="24"/>
                <w:szCs w:val="32"/>
                <w:vertAlign w:val="baseline"/>
                <w:lang w:val="en-US" w:eastAsia="zh-CN" w:bidi="ar-SA"/>
              </w:rPr>
            </w:pPr>
            <w:r>
              <w:rPr>
                <w:rFonts w:hint="eastAsia" w:ascii="方正仿宋_GB2312" w:hAnsi="方正仿宋_GB2312" w:eastAsia="方正仿宋_GB2312" w:cs="方正仿宋_GB2312"/>
                <w:b w:val="0"/>
                <w:bCs w:val="0"/>
                <w:color w:val="auto"/>
                <w:kern w:val="2"/>
                <w:sz w:val="24"/>
                <w:szCs w:val="32"/>
                <w:vertAlign w:val="baseline"/>
                <w:lang w:val="en-US" w:eastAsia="zh-CN" w:bidi="ar-SA"/>
              </w:rPr>
              <w:t>2</w:t>
            </w:r>
          </w:p>
        </w:tc>
        <w:tc>
          <w:tcPr>
            <w:tcW w:w="841" w:type="dxa"/>
            <w:vMerge w:val="restart"/>
            <w:shd w:val="clear" w:color="auto" w:fill="auto"/>
            <w:vAlign w:val="center"/>
          </w:tcPr>
          <w:p w14:paraId="49BA1F92">
            <w:pPr>
              <w:rPr>
                <w:rFonts w:hint="eastAsia" w:ascii="方正仿宋_GB2312" w:hAnsi="方正仿宋_GB2312" w:eastAsia="方正仿宋_GB2312" w:cs="方正仿宋_GB2312"/>
                <w:color w:val="auto"/>
                <w:lang w:val="en-US" w:eastAsia="zh-CN"/>
              </w:rPr>
            </w:pPr>
          </w:p>
          <w:p w14:paraId="30AA83A4">
            <w:pPr>
              <w:rPr>
                <w:rFonts w:hint="eastAsia" w:ascii="方正仿宋_GB2312" w:hAnsi="方正仿宋_GB2312" w:eastAsia="方正仿宋_GB2312" w:cs="方正仿宋_GB2312"/>
                <w:color w:val="auto"/>
                <w:lang w:val="en-US" w:eastAsia="zh-CN"/>
              </w:rPr>
            </w:pPr>
          </w:p>
          <w:p w14:paraId="07FE22FB">
            <w:pPr>
              <w:rPr>
                <w:rFonts w:hint="eastAsia" w:ascii="方正仿宋_GB2312" w:hAnsi="方正仿宋_GB2312" w:eastAsia="方正仿宋_GB2312" w:cs="方正仿宋_GB2312"/>
                <w:color w:val="auto"/>
                <w:lang w:val="en-US" w:eastAsia="zh-CN"/>
              </w:rPr>
            </w:pPr>
          </w:p>
          <w:p w14:paraId="1C822B85">
            <w:pPr>
              <w:rPr>
                <w:rFonts w:hint="eastAsia" w:ascii="方正仿宋_GB2312" w:hAnsi="方正仿宋_GB2312" w:eastAsia="方正仿宋_GB2312" w:cs="方正仿宋_GB2312"/>
                <w:color w:val="auto"/>
                <w:lang w:val="en-US" w:eastAsia="zh-CN"/>
              </w:rPr>
            </w:pPr>
          </w:p>
          <w:p w14:paraId="2365A81F">
            <w:pPr>
              <w:rPr>
                <w:rFonts w:hint="eastAsia" w:ascii="方正仿宋_GB2312" w:hAnsi="方正仿宋_GB2312" w:eastAsia="方正仿宋_GB2312" w:cs="方正仿宋_GB2312"/>
                <w:color w:val="auto"/>
                <w:lang w:val="en-US" w:eastAsia="zh-CN"/>
              </w:rPr>
            </w:pPr>
          </w:p>
          <w:p w14:paraId="018C9C66">
            <w:pPr>
              <w:rPr>
                <w:rFonts w:hint="eastAsia" w:ascii="方正仿宋_GB2312" w:hAnsi="方正仿宋_GB2312" w:eastAsia="方正仿宋_GB2312" w:cs="方正仿宋_GB2312"/>
                <w:color w:val="auto"/>
                <w:lang w:val="en-US" w:eastAsia="zh-CN"/>
              </w:rPr>
            </w:pPr>
          </w:p>
          <w:p w14:paraId="75767598">
            <w:pPr>
              <w:rPr>
                <w:rFonts w:hint="eastAsia" w:ascii="方正仿宋_GB2312" w:hAnsi="方正仿宋_GB2312" w:eastAsia="方正仿宋_GB2312" w:cs="方正仿宋_GB2312"/>
                <w:color w:val="auto"/>
                <w:lang w:val="en-US" w:eastAsia="zh-CN"/>
              </w:rPr>
            </w:pPr>
          </w:p>
          <w:p w14:paraId="35C8A553">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本科及</w:t>
            </w:r>
          </w:p>
          <w:p w14:paraId="669B974A">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以上学历</w:t>
            </w:r>
          </w:p>
          <w:p w14:paraId="4FCD97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kern w:val="2"/>
                <w:sz w:val="24"/>
                <w:szCs w:val="32"/>
                <w:vertAlign w:val="baseline"/>
                <w:lang w:val="en-US" w:eastAsia="zh-CN" w:bidi="ar-SA"/>
              </w:rPr>
            </w:pPr>
          </w:p>
        </w:tc>
      </w:tr>
      <w:tr w14:paraId="4054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646" w:type="dxa"/>
            <w:shd w:val="clear" w:color="auto" w:fill="auto"/>
            <w:vAlign w:val="center"/>
          </w:tcPr>
          <w:p w14:paraId="5A5980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b w:val="0"/>
                <w:bCs w:val="0"/>
                <w:color w:val="auto"/>
                <w:kern w:val="2"/>
                <w:sz w:val="24"/>
                <w:szCs w:val="32"/>
                <w:vertAlign w:val="baseline"/>
                <w:lang w:val="en-US" w:eastAsia="zh-CN" w:bidi="ar-SA"/>
              </w:rPr>
            </w:pPr>
            <w:r>
              <w:rPr>
                <w:rFonts w:hint="eastAsia" w:ascii="方正仿宋_GB2312" w:hAnsi="方正仿宋_GB2312" w:eastAsia="方正仿宋_GB2312" w:cs="方正仿宋_GB2312"/>
                <w:b w:val="0"/>
                <w:bCs w:val="0"/>
                <w:color w:val="auto"/>
                <w:kern w:val="2"/>
                <w:sz w:val="24"/>
                <w:szCs w:val="32"/>
                <w:vertAlign w:val="baseline"/>
                <w:lang w:val="en-US" w:eastAsia="zh-CN" w:bidi="ar-SA"/>
              </w:rPr>
              <w:t>2</w:t>
            </w:r>
          </w:p>
        </w:tc>
        <w:tc>
          <w:tcPr>
            <w:tcW w:w="1133" w:type="dxa"/>
            <w:shd w:val="clear" w:color="auto" w:fill="auto"/>
            <w:vAlign w:val="center"/>
          </w:tcPr>
          <w:p w14:paraId="181817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color w:val="auto"/>
                <w:sz w:val="24"/>
                <w:szCs w:val="32"/>
                <w:lang w:val="en-US" w:eastAsia="zh-CN"/>
              </w:rPr>
            </w:pPr>
            <w:r>
              <w:rPr>
                <w:rFonts w:hint="eastAsia" w:ascii="方正仿宋_GB2312" w:hAnsi="方正仿宋_GB2312" w:eastAsia="方正仿宋_GB2312" w:cs="方正仿宋_GB2312"/>
                <w:color w:val="auto"/>
                <w:sz w:val="24"/>
                <w:szCs w:val="32"/>
                <w:lang w:val="en-US" w:eastAsia="zh-CN"/>
              </w:rPr>
              <w:t>车辆</w:t>
            </w:r>
          </w:p>
          <w:p w14:paraId="04DAAD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color w:val="auto"/>
                <w:kern w:val="2"/>
                <w:sz w:val="24"/>
                <w:szCs w:val="32"/>
                <w:lang w:val="en-US" w:eastAsia="zh-CN" w:bidi="ar-SA"/>
              </w:rPr>
            </w:pPr>
            <w:r>
              <w:rPr>
                <w:rFonts w:hint="eastAsia" w:ascii="方正仿宋_GB2312" w:hAnsi="方正仿宋_GB2312" w:eastAsia="方正仿宋_GB2312" w:cs="方正仿宋_GB2312"/>
                <w:color w:val="auto"/>
                <w:sz w:val="24"/>
                <w:szCs w:val="32"/>
                <w:lang w:val="en-US" w:eastAsia="zh-CN"/>
              </w:rPr>
              <w:t>工程</w:t>
            </w:r>
          </w:p>
        </w:tc>
        <w:tc>
          <w:tcPr>
            <w:tcW w:w="10783" w:type="dxa"/>
            <w:shd w:val="clear" w:color="auto" w:fill="auto"/>
            <w:vAlign w:val="center"/>
          </w:tcPr>
          <w:p w14:paraId="7A721629">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1.专业范围：车辆工程、汽车工程、新能源汽车工程、汽车检测与维修技术等相关专业</w:t>
            </w:r>
          </w:p>
          <w:p w14:paraId="2AC5E9DE">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2.技能要求：精通汽车构造、汽车电气、汽车检测与维修、新能源汽车技术等相关理论与实操技能。</w:t>
            </w:r>
          </w:p>
          <w:p w14:paraId="28E78395">
            <w:pPr>
              <w:rPr>
                <w:rFonts w:hint="eastAsia" w:ascii="方正仿宋_GB2312" w:hAnsi="方正仿宋_GB2312" w:eastAsia="方正仿宋_GB2312" w:cs="方正仿宋_GB2312"/>
                <w:color w:val="auto"/>
                <w:kern w:val="2"/>
                <w:sz w:val="21"/>
                <w:szCs w:val="24"/>
                <w:lang w:val="en-US" w:eastAsia="zh-CN" w:bidi="ar-SA"/>
              </w:rPr>
            </w:pPr>
            <w:r>
              <w:rPr>
                <w:rFonts w:hint="eastAsia" w:ascii="方正仿宋_GB2312" w:hAnsi="方正仿宋_GB2312" w:eastAsia="方正仿宋_GB2312" w:cs="方正仿宋_GB2312"/>
                <w:color w:val="auto"/>
                <w:lang w:val="en-US" w:eastAsia="zh-CN"/>
              </w:rPr>
              <w:t>3.优先条件：持有中等职业学校机械/汽车相关教师资格证书；有汽车行业实战经验、中职相关课程教学经验；持有三级及以上汽车维修工、汽车检测工程师相关职业技能等级证书优先；“双师型”或“工学一体化”教师资格证书；个人参加或辅导学生参加市级及以上技能竞赛获得三等奖及以上成绩；班主任工作经验。</w:t>
            </w:r>
          </w:p>
        </w:tc>
        <w:tc>
          <w:tcPr>
            <w:tcW w:w="834" w:type="dxa"/>
            <w:shd w:val="clear" w:color="auto" w:fill="auto"/>
            <w:vAlign w:val="center"/>
          </w:tcPr>
          <w:p w14:paraId="54E803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color w:val="auto"/>
                <w:kern w:val="2"/>
                <w:sz w:val="24"/>
                <w:szCs w:val="32"/>
                <w:vertAlign w:val="baseline"/>
                <w:lang w:val="en-US" w:eastAsia="zh-CN" w:bidi="ar-SA"/>
              </w:rPr>
            </w:pPr>
            <w:r>
              <w:rPr>
                <w:rFonts w:hint="eastAsia" w:ascii="方正仿宋_GB2312" w:hAnsi="方正仿宋_GB2312" w:eastAsia="方正仿宋_GB2312" w:cs="方正仿宋_GB2312"/>
                <w:color w:val="auto"/>
                <w:kern w:val="2"/>
                <w:sz w:val="24"/>
                <w:szCs w:val="32"/>
                <w:vertAlign w:val="baseline"/>
                <w:lang w:val="en-US" w:eastAsia="zh-CN" w:bidi="ar-SA"/>
              </w:rPr>
              <w:t>8</w:t>
            </w:r>
          </w:p>
        </w:tc>
        <w:tc>
          <w:tcPr>
            <w:tcW w:w="841" w:type="dxa"/>
            <w:vMerge w:val="continue"/>
            <w:shd w:val="clear" w:color="auto" w:fill="auto"/>
            <w:vAlign w:val="center"/>
          </w:tcPr>
          <w:p w14:paraId="5535F3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kern w:val="2"/>
                <w:sz w:val="24"/>
                <w:szCs w:val="32"/>
                <w:vertAlign w:val="baseline"/>
                <w:lang w:val="en-US" w:eastAsia="zh-CN" w:bidi="ar-SA"/>
              </w:rPr>
            </w:pPr>
          </w:p>
        </w:tc>
      </w:tr>
      <w:tr w14:paraId="7787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646" w:type="dxa"/>
            <w:shd w:val="clear" w:color="auto" w:fill="auto"/>
            <w:vAlign w:val="center"/>
          </w:tcPr>
          <w:p w14:paraId="2ED7D4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b w:val="0"/>
                <w:bCs w:val="0"/>
                <w:color w:val="auto"/>
                <w:kern w:val="2"/>
                <w:sz w:val="24"/>
                <w:szCs w:val="32"/>
                <w:vertAlign w:val="baseline"/>
                <w:lang w:val="en-US" w:eastAsia="zh-CN" w:bidi="ar-SA"/>
              </w:rPr>
            </w:pPr>
            <w:r>
              <w:rPr>
                <w:rFonts w:hint="eastAsia" w:ascii="方正仿宋_GB2312" w:hAnsi="方正仿宋_GB2312" w:eastAsia="方正仿宋_GB2312" w:cs="方正仿宋_GB2312"/>
                <w:b w:val="0"/>
                <w:bCs w:val="0"/>
                <w:color w:val="auto"/>
                <w:kern w:val="2"/>
                <w:sz w:val="24"/>
                <w:szCs w:val="32"/>
                <w:vertAlign w:val="baseline"/>
                <w:lang w:val="en-US" w:eastAsia="zh-CN" w:bidi="ar-SA"/>
              </w:rPr>
              <w:t>3</w:t>
            </w:r>
          </w:p>
        </w:tc>
        <w:tc>
          <w:tcPr>
            <w:tcW w:w="1133" w:type="dxa"/>
            <w:shd w:val="clear" w:color="auto" w:fill="auto"/>
            <w:vAlign w:val="center"/>
          </w:tcPr>
          <w:p w14:paraId="38C057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color w:val="auto"/>
                <w:sz w:val="24"/>
                <w:szCs w:val="32"/>
                <w:lang w:val="en-US" w:eastAsia="zh-CN"/>
              </w:rPr>
            </w:pPr>
            <w:r>
              <w:rPr>
                <w:rFonts w:hint="eastAsia" w:ascii="方正仿宋_GB2312" w:hAnsi="方正仿宋_GB2312" w:eastAsia="方正仿宋_GB2312" w:cs="方正仿宋_GB2312"/>
                <w:color w:val="auto"/>
                <w:sz w:val="24"/>
                <w:szCs w:val="32"/>
                <w:lang w:val="en-US" w:eastAsia="zh-CN"/>
              </w:rPr>
              <w:t>电气</w:t>
            </w:r>
          </w:p>
          <w:p w14:paraId="47237C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color w:val="auto"/>
                <w:kern w:val="2"/>
                <w:sz w:val="24"/>
                <w:szCs w:val="32"/>
                <w:lang w:val="en-US" w:eastAsia="zh-CN" w:bidi="ar-SA"/>
              </w:rPr>
            </w:pPr>
            <w:r>
              <w:rPr>
                <w:rFonts w:hint="eastAsia" w:ascii="方正仿宋_GB2312" w:hAnsi="方正仿宋_GB2312" w:eastAsia="方正仿宋_GB2312" w:cs="方正仿宋_GB2312"/>
                <w:color w:val="auto"/>
                <w:sz w:val="24"/>
                <w:szCs w:val="32"/>
                <w:lang w:val="en-US" w:eastAsia="zh-CN"/>
              </w:rPr>
              <w:t>自动化</w:t>
            </w:r>
          </w:p>
        </w:tc>
        <w:tc>
          <w:tcPr>
            <w:tcW w:w="10783" w:type="dxa"/>
            <w:shd w:val="clear" w:color="auto" w:fill="auto"/>
            <w:vAlign w:val="center"/>
          </w:tcPr>
          <w:p w14:paraId="02710ADA">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1.专业范围：电气工程及其自动化、自动化、电气工程与智能控制、机电一体化技术、电气自动化等相关专业。</w:t>
            </w:r>
          </w:p>
          <w:p w14:paraId="6449FFB8">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2.技能要求：具备电气设备安装、调试、维护，PLC控制、低压电器控制等相关实操能力。</w:t>
            </w:r>
          </w:p>
          <w:p w14:paraId="28F5B949">
            <w:pPr>
              <w:rPr>
                <w:rFonts w:hint="eastAsia" w:ascii="方正仿宋_GB2312" w:hAnsi="方正仿宋_GB2312" w:eastAsia="方正仿宋_GB2312" w:cs="方正仿宋_GB2312"/>
                <w:color w:val="auto"/>
                <w:kern w:val="2"/>
                <w:sz w:val="21"/>
                <w:szCs w:val="24"/>
                <w:lang w:val="en-US" w:eastAsia="zh-CN" w:bidi="ar-SA"/>
              </w:rPr>
            </w:pPr>
            <w:r>
              <w:rPr>
                <w:rFonts w:hint="eastAsia" w:ascii="方正仿宋_GB2312" w:hAnsi="方正仿宋_GB2312" w:eastAsia="方正仿宋_GB2312" w:cs="方正仿宋_GB2312"/>
                <w:color w:val="auto"/>
                <w:lang w:val="en-US" w:eastAsia="zh-CN"/>
              </w:rPr>
              <w:t>3.优先条件：持有中等职业学校机电/电气相关教师资格证书；有电气自动化行业实战经验、中职相关课程教学经验；持有三级及以上电工证、电气工程师相关职业技能等级证书；“双师型”或“工学一体化”教师资格证书；个人参加或辅导学生参加市级及以上技能竞赛获得三等奖及以上成绩；班主任工作经验。</w:t>
            </w:r>
          </w:p>
        </w:tc>
        <w:tc>
          <w:tcPr>
            <w:tcW w:w="834" w:type="dxa"/>
            <w:shd w:val="clear" w:color="auto" w:fill="auto"/>
            <w:vAlign w:val="center"/>
          </w:tcPr>
          <w:p w14:paraId="7C39F9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color w:val="auto"/>
                <w:kern w:val="2"/>
                <w:sz w:val="24"/>
                <w:szCs w:val="32"/>
                <w:vertAlign w:val="baseline"/>
                <w:lang w:val="en-US" w:eastAsia="zh-CN" w:bidi="ar-SA"/>
              </w:rPr>
            </w:pPr>
            <w:r>
              <w:rPr>
                <w:rFonts w:hint="eastAsia" w:ascii="方正仿宋_GB2312" w:hAnsi="方正仿宋_GB2312" w:eastAsia="方正仿宋_GB2312" w:cs="方正仿宋_GB2312"/>
                <w:color w:val="auto"/>
                <w:kern w:val="2"/>
                <w:sz w:val="24"/>
                <w:szCs w:val="32"/>
                <w:vertAlign w:val="baseline"/>
                <w:lang w:val="en-US" w:eastAsia="zh-CN" w:bidi="ar-SA"/>
              </w:rPr>
              <w:t>1</w:t>
            </w:r>
          </w:p>
        </w:tc>
        <w:tc>
          <w:tcPr>
            <w:tcW w:w="841" w:type="dxa"/>
            <w:vMerge w:val="continue"/>
            <w:shd w:val="clear" w:color="auto" w:fill="auto"/>
            <w:vAlign w:val="center"/>
          </w:tcPr>
          <w:p w14:paraId="1D3666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kern w:val="2"/>
                <w:sz w:val="24"/>
                <w:szCs w:val="32"/>
                <w:vertAlign w:val="baseline"/>
                <w:lang w:val="en-US" w:eastAsia="zh-CN" w:bidi="ar-SA"/>
              </w:rPr>
            </w:pPr>
          </w:p>
        </w:tc>
      </w:tr>
      <w:tr w14:paraId="3988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646" w:type="dxa"/>
            <w:shd w:val="clear" w:color="auto" w:fill="auto"/>
            <w:vAlign w:val="center"/>
          </w:tcPr>
          <w:p w14:paraId="27F856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b w:val="0"/>
                <w:bCs w:val="0"/>
                <w:color w:val="auto"/>
                <w:kern w:val="2"/>
                <w:sz w:val="24"/>
                <w:szCs w:val="32"/>
                <w:vertAlign w:val="baseline"/>
                <w:lang w:val="en-US" w:eastAsia="zh-CN" w:bidi="ar-SA"/>
              </w:rPr>
            </w:pPr>
            <w:r>
              <w:rPr>
                <w:rFonts w:hint="eastAsia" w:ascii="方正仿宋_GB2312" w:hAnsi="方正仿宋_GB2312" w:eastAsia="方正仿宋_GB2312" w:cs="方正仿宋_GB2312"/>
                <w:b w:val="0"/>
                <w:bCs w:val="0"/>
                <w:color w:val="auto"/>
                <w:kern w:val="2"/>
                <w:sz w:val="24"/>
                <w:szCs w:val="32"/>
                <w:vertAlign w:val="baseline"/>
                <w:lang w:val="en-US" w:eastAsia="zh-CN" w:bidi="ar-SA"/>
              </w:rPr>
              <w:t>4</w:t>
            </w:r>
          </w:p>
        </w:tc>
        <w:tc>
          <w:tcPr>
            <w:tcW w:w="1133" w:type="dxa"/>
            <w:shd w:val="clear" w:color="auto" w:fill="auto"/>
            <w:vAlign w:val="center"/>
          </w:tcPr>
          <w:p w14:paraId="3462B1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color w:val="auto"/>
                <w:sz w:val="24"/>
                <w:szCs w:val="32"/>
                <w:lang w:val="en-US" w:eastAsia="zh-CN"/>
              </w:rPr>
            </w:pPr>
            <w:r>
              <w:rPr>
                <w:rFonts w:hint="eastAsia" w:ascii="方正仿宋_GB2312" w:hAnsi="方正仿宋_GB2312" w:eastAsia="方正仿宋_GB2312" w:cs="方正仿宋_GB2312"/>
                <w:color w:val="auto"/>
                <w:sz w:val="24"/>
                <w:szCs w:val="32"/>
                <w:lang w:val="en-US" w:eastAsia="zh-CN"/>
              </w:rPr>
              <w:t>机械</w:t>
            </w:r>
          </w:p>
          <w:p w14:paraId="57B42E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2312" w:hAnsi="方正仿宋_GB2312" w:eastAsia="方正仿宋_GB2312" w:cs="方正仿宋_GB2312"/>
                <w:color w:val="auto"/>
                <w:kern w:val="2"/>
                <w:sz w:val="24"/>
                <w:szCs w:val="32"/>
                <w:lang w:val="en-US" w:eastAsia="zh-CN" w:bidi="ar-SA"/>
              </w:rPr>
            </w:pPr>
            <w:r>
              <w:rPr>
                <w:rFonts w:hint="eastAsia" w:ascii="方正仿宋_GB2312" w:hAnsi="方正仿宋_GB2312" w:eastAsia="方正仿宋_GB2312" w:cs="方正仿宋_GB2312"/>
                <w:color w:val="auto"/>
                <w:sz w:val="24"/>
                <w:szCs w:val="32"/>
                <w:lang w:val="en-US" w:eastAsia="zh-CN"/>
              </w:rPr>
              <w:t>制造与自动化</w:t>
            </w:r>
          </w:p>
        </w:tc>
        <w:tc>
          <w:tcPr>
            <w:tcW w:w="10783" w:type="dxa"/>
            <w:shd w:val="clear" w:color="auto" w:fill="auto"/>
            <w:vAlign w:val="center"/>
          </w:tcPr>
          <w:p w14:paraId="14305C1F">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专业条件：1.机械工程、机械设计制造及其自动化、机械电子工程、材料成型及控制工程、工业设计、等机械类相关专业。</w:t>
            </w:r>
          </w:p>
          <w:p w14:paraId="307D59CC">
            <w:pPr>
              <w:rPr>
                <w:rFonts w:hint="eastAsia" w:ascii="方正仿宋_GB2312" w:hAnsi="方正仿宋_GB2312" w:eastAsia="方正仿宋_GB2312" w:cs="方正仿宋_GB2312"/>
                <w:color w:val="auto"/>
                <w:lang w:val="en-US" w:eastAsia="zh-CN"/>
              </w:rPr>
            </w:pPr>
            <w:r>
              <w:rPr>
                <w:rFonts w:hint="eastAsia" w:ascii="方正仿宋_GB2312" w:hAnsi="方正仿宋_GB2312" w:eastAsia="方正仿宋_GB2312" w:cs="方正仿宋_GB2312"/>
                <w:color w:val="auto"/>
                <w:lang w:val="en-US" w:eastAsia="zh-CN"/>
              </w:rPr>
              <w:t>1.技能要求：具备扎实的机械设计、工程制图、机械制造工艺、工程材料、气动液压传动系统原理等理论基础与实操能力，能熟练操作 AutoCAD、SolidWorks、UG、CATIA 等专业设计软件，可胜任中职机械基础、机械制图、气动液压传动、机械设计、机械制造工艺等相关课程教学与技能实训指导工作。</w:t>
            </w:r>
          </w:p>
          <w:p w14:paraId="6A6523B9">
            <w:pPr>
              <w:rPr>
                <w:rFonts w:hint="eastAsia" w:ascii="方正仿宋_GB2312" w:hAnsi="方正仿宋_GB2312" w:eastAsia="方正仿宋_GB2312" w:cs="方正仿宋_GB2312"/>
                <w:color w:val="auto"/>
                <w:kern w:val="2"/>
                <w:sz w:val="21"/>
                <w:szCs w:val="24"/>
                <w:lang w:val="en-US" w:eastAsia="zh-CN" w:bidi="ar-SA"/>
              </w:rPr>
            </w:pPr>
            <w:r>
              <w:rPr>
                <w:rFonts w:hint="eastAsia" w:ascii="方正仿宋_GB2312" w:hAnsi="方正仿宋_GB2312" w:eastAsia="方正仿宋_GB2312" w:cs="方正仿宋_GB2312"/>
                <w:color w:val="auto"/>
                <w:lang w:val="en-US" w:eastAsia="zh-CN"/>
              </w:rPr>
              <w:t>3.优先条件：持有中等职业学校或高级中学机械相关教师资格证书；有中职机械类课程教学、技能实训教学、职教高考辅导经验；具备机械设计、数控加工相关专业三级及以上职业技能等级证书；“双师型”或“工学一体化”教师资格证书；个人参加或辅导学生参加市级及以上机械类技能竞赛获得三等奖及以上成绩；有班主任工作经验。</w:t>
            </w:r>
          </w:p>
        </w:tc>
        <w:tc>
          <w:tcPr>
            <w:tcW w:w="834" w:type="dxa"/>
            <w:shd w:val="clear" w:color="auto" w:fill="auto"/>
            <w:vAlign w:val="center"/>
          </w:tcPr>
          <w:p w14:paraId="48F584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color w:val="auto"/>
                <w:kern w:val="2"/>
                <w:sz w:val="24"/>
                <w:szCs w:val="32"/>
                <w:vertAlign w:val="baseline"/>
                <w:lang w:val="en-US" w:eastAsia="zh-CN" w:bidi="ar-SA"/>
              </w:rPr>
            </w:pPr>
            <w:r>
              <w:rPr>
                <w:rFonts w:hint="eastAsia" w:ascii="方正仿宋_GB2312" w:hAnsi="方正仿宋_GB2312" w:eastAsia="方正仿宋_GB2312" w:cs="方正仿宋_GB2312"/>
                <w:color w:val="auto"/>
                <w:kern w:val="2"/>
                <w:sz w:val="24"/>
                <w:szCs w:val="32"/>
                <w:vertAlign w:val="baseline"/>
                <w:lang w:val="en-US" w:eastAsia="zh-CN" w:bidi="ar-SA"/>
              </w:rPr>
              <w:t>1</w:t>
            </w:r>
            <w:bookmarkStart w:id="0" w:name="_GoBack"/>
            <w:bookmarkEnd w:id="0"/>
          </w:p>
        </w:tc>
        <w:tc>
          <w:tcPr>
            <w:tcW w:w="841" w:type="dxa"/>
            <w:vMerge w:val="continue"/>
            <w:shd w:val="clear" w:color="auto" w:fill="auto"/>
            <w:vAlign w:val="center"/>
          </w:tcPr>
          <w:p w14:paraId="1A7D0E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kern w:val="2"/>
                <w:sz w:val="24"/>
                <w:szCs w:val="32"/>
                <w:vertAlign w:val="baseline"/>
                <w:lang w:val="en-US" w:eastAsia="zh-CN" w:bidi="ar-SA"/>
              </w:rPr>
            </w:pPr>
          </w:p>
        </w:tc>
      </w:tr>
      <w:tr w14:paraId="7002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779" w:type="dxa"/>
            <w:gridSpan w:val="2"/>
            <w:shd w:val="clear" w:color="auto" w:fill="auto"/>
            <w:vAlign w:val="center"/>
          </w:tcPr>
          <w:p w14:paraId="013E7C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color w:val="auto"/>
                <w:sz w:val="24"/>
                <w:szCs w:val="32"/>
                <w:lang w:val="en-US" w:eastAsia="zh-CN"/>
              </w:rPr>
            </w:pPr>
            <w:r>
              <w:rPr>
                <w:rFonts w:hint="eastAsia" w:ascii="方正仿宋_GB2312" w:hAnsi="方正仿宋_GB2312" w:eastAsia="方正仿宋_GB2312" w:cs="方正仿宋_GB2312"/>
                <w:color w:val="auto"/>
                <w:sz w:val="24"/>
                <w:szCs w:val="32"/>
                <w:lang w:val="en-US" w:eastAsia="zh-CN"/>
              </w:rPr>
              <w:t>合计</w:t>
            </w:r>
          </w:p>
        </w:tc>
        <w:tc>
          <w:tcPr>
            <w:tcW w:w="10783" w:type="dxa"/>
            <w:shd w:val="clear" w:color="auto" w:fill="auto"/>
            <w:vAlign w:val="center"/>
          </w:tcPr>
          <w:p w14:paraId="648B9892">
            <w:pPr>
              <w:rPr>
                <w:rFonts w:hint="eastAsia" w:ascii="方正仿宋_GB2312" w:hAnsi="方正仿宋_GB2312" w:eastAsia="方正仿宋_GB2312" w:cs="方正仿宋_GB2312"/>
                <w:color w:val="auto"/>
                <w:lang w:val="en-US" w:eastAsia="zh-CN"/>
              </w:rPr>
            </w:pPr>
          </w:p>
        </w:tc>
        <w:tc>
          <w:tcPr>
            <w:tcW w:w="834" w:type="dxa"/>
            <w:shd w:val="clear" w:color="auto" w:fill="auto"/>
            <w:vAlign w:val="center"/>
          </w:tcPr>
          <w:p w14:paraId="413A43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2312" w:hAnsi="方正仿宋_GB2312" w:eastAsia="方正仿宋_GB2312" w:cs="方正仿宋_GB2312"/>
                <w:color w:val="auto"/>
                <w:sz w:val="24"/>
                <w:szCs w:val="32"/>
                <w:vertAlign w:val="baseline"/>
                <w:lang w:val="en-US" w:eastAsia="zh-CN"/>
              </w:rPr>
            </w:pPr>
          </w:p>
        </w:tc>
        <w:tc>
          <w:tcPr>
            <w:tcW w:w="841" w:type="dxa"/>
            <w:shd w:val="clear" w:color="auto" w:fill="auto"/>
            <w:vAlign w:val="center"/>
          </w:tcPr>
          <w:p w14:paraId="03B636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color w:val="auto"/>
                <w:kern w:val="2"/>
                <w:sz w:val="24"/>
                <w:szCs w:val="32"/>
                <w:vertAlign w:val="baseline"/>
                <w:lang w:val="en-US" w:eastAsia="zh-CN" w:bidi="ar-SA"/>
              </w:rPr>
            </w:pPr>
          </w:p>
        </w:tc>
      </w:tr>
    </w:tbl>
    <w:p w14:paraId="78978A2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02E305-CC4A-4276-816A-BF39571B9E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FB4F7F8C-A700-4434-BB7B-C3D42012FC62}"/>
  </w:font>
  <w:font w:name="方正仿宋_GB2312">
    <w:panose1 w:val="02000000000000000000"/>
    <w:charset w:val="86"/>
    <w:family w:val="auto"/>
    <w:pitch w:val="default"/>
    <w:sig w:usb0="A00002BF" w:usb1="184F6CFA" w:usb2="00000012" w:usb3="00000000" w:csb0="00040001" w:csb1="00000000"/>
    <w:embedRegular r:id="rId3" w:fontKey="{0A0DD503-D3E6-4521-B6E9-569D96EFF48D}"/>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mZWNiODJhZTE2ZDBjZWFiZmQzYWVhNzdlODNiMWYifQ=="/>
  </w:docVars>
  <w:rsids>
    <w:rsidRoot w:val="2D5A2AC8"/>
    <w:rsid w:val="025A34EF"/>
    <w:rsid w:val="168B3880"/>
    <w:rsid w:val="176E54FA"/>
    <w:rsid w:val="187D188E"/>
    <w:rsid w:val="1AEA2A58"/>
    <w:rsid w:val="256B7BF2"/>
    <w:rsid w:val="2C2916B9"/>
    <w:rsid w:val="2D5A2AC8"/>
    <w:rsid w:val="2DAA5E39"/>
    <w:rsid w:val="2FDC4318"/>
    <w:rsid w:val="3891486E"/>
    <w:rsid w:val="4C9E7102"/>
    <w:rsid w:val="55A41C2D"/>
    <w:rsid w:val="569D042A"/>
    <w:rsid w:val="5C944872"/>
    <w:rsid w:val="61601145"/>
    <w:rsid w:val="62976675"/>
    <w:rsid w:val="68DB72BC"/>
    <w:rsid w:val="6CE40709"/>
    <w:rsid w:val="72331F17"/>
    <w:rsid w:val="75D82963"/>
    <w:rsid w:val="77D93560"/>
    <w:rsid w:val="7DC205F3"/>
    <w:rsid w:val="7F895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1006</Words>
  <Characters>1040</Characters>
  <Lines>0</Lines>
  <Paragraphs>0</Paragraphs>
  <TotalTime>1</TotalTime>
  <ScaleCrop>false</ScaleCrop>
  <LinksUpToDate>false</LinksUpToDate>
  <CharactersWithSpaces>1042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2026-07-23T03:47:00Z</dcterms:created>
  <dc:creator>留撇小胡须</dc:creator>
  <cp:lastModifiedBy>Hikari</cp:lastModifiedBy>
  <dcterms:modified xsi:type="dcterms:W3CDTF">2026-08-22T02:03:34Z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FD23823632604D79B7D2736F7402A304_11</vt:lpwstr>
  </property>
  <property fmtid="{D5CDD505-2E9C-101B-9397-08002B2CF9AE}" pid="4" name="KSOTemplateDocerSaveRecord">
    <vt:lpwstr>eyJoZGlkIjoiYzYzNGUzMWZiMDJjYjUyMWM4OTk4OWU5MzJlMmMxZGUiLCJ1c2VySWQiOiI0ODI5MDgzNDQifQ==</vt:lpwstr>
  </property>
</Properties>
</file>