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5553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0" w:firstLineChars="0"/>
        <w:jc w:val="both"/>
        <w:textAlignment w:val="baseline"/>
        <w:rPr>
          <w:rStyle w:val="10"/>
          <w:rFonts w:hint="default" w:ascii="仿宋" w:hAnsi="仿宋" w:eastAsia="仿宋" w:cs="仿宋"/>
          <w:b/>
          <w:bCs w:val="0"/>
          <w:i w:val="0"/>
          <w:caps w:val="0"/>
          <w:spacing w:val="0"/>
          <w:w w:val="100"/>
          <w:kern w:val="44"/>
          <w:sz w:val="32"/>
          <w:szCs w:val="32"/>
          <w:highlight w:val="none"/>
          <w:lang w:val="en-US" w:eastAsia="zh-CN" w:bidi="ar-SA"/>
        </w:rPr>
      </w:pPr>
      <w:r>
        <w:rPr>
          <w:rStyle w:val="10"/>
          <w:rFonts w:hint="eastAsia" w:ascii="黑体" w:hAnsi="黑体" w:eastAsia="黑体" w:cs="黑体"/>
          <w:b w:val="0"/>
          <w:bCs/>
          <w:i w:val="0"/>
          <w:caps w:val="0"/>
          <w:spacing w:val="0"/>
          <w:w w:val="100"/>
          <w:kern w:val="44"/>
          <w:sz w:val="32"/>
          <w:szCs w:val="32"/>
          <w:highlight w:val="none"/>
          <w:lang w:val="en-US" w:eastAsia="zh-CN" w:bidi="ar-SA"/>
        </w:rPr>
        <w:t>附件</w:t>
      </w:r>
      <w:r>
        <w:rPr>
          <w:rStyle w:val="10"/>
          <w:rFonts w:ascii="黑体" w:hAnsi="黑体" w:eastAsia="黑体" w:cs="黑体"/>
          <w:b w:val="0"/>
          <w:bCs/>
          <w:i w:val="0"/>
          <w:caps w:val="0"/>
          <w:spacing w:val="0"/>
          <w:w w:val="100"/>
          <w:kern w:val="44"/>
          <w:sz w:val="32"/>
          <w:szCs w:val="32"/>
          <w:highlight w:val="none"/>
          <w:lang w:val="en-US" w:eastAsia="zh-CN" w:bidi="ar-SA"/>
        </w:rPr>
        <w:t>1</w:t>
      </w:r>
    </w:p>
    <w:p w14:paraId="6C34183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0" w:firstLineChars="0"/>
        <w:jc w:val="center"/>
        <w:textAlignment w:val="baseline"/>
        <w:rPr>
          <w:rStyle w:val="10"/>
          <w:rFonts w:hint="default" w:ascii="仿宋_GB2312" w:hAnsi="Calibri" w:eastAsia="方正小标宋简体" w:cs="Times New Roman"/>
          <w:b w:val="0"/>
          <w:bCs/>
          <w:i w:val="0"/>
          <w:caps w:val="0"/>
          <w:spacing w:val="0"/>
          <w:w w:val="100"/>
          <w:kern w:val="44"/>
          <w:sz w:val="44"/>
          <w:szCs w:val="44"/>
          <w:highlight w:val="none"/>
          <w:lang w:val="en-US" w:eastAsia="zh-CN" w:bidi="ar-SA"/>
        </w:rPr>
      </w:pPr>
      <w:r>
        <w:rPr>
          <w:rStyle w:val="10"/>
          <w:rFonts w:ascii="仿宋_GB2312" w:hAnsi="Calibri" w:eastAsia="方正小标宋简体" w:cs="Times New Roman"/>
          <w:b w:val="0"/>
          <w:bCs/>
          <w:i w:val="0"/>
          <w:caps w:val="0"/>
          <w:spacing w:val="0"/>
          <w:w w:val="100"/>
          <w:kern w:val="44"/>
          <w:sz w:val="44"/>
          <w:szCs w:val="44"/>
          <w:highlight w:val="none"/>
          <w:lang w:val="en-US" w:eastAsia="zh-CN" w:bidi="ar-SA"/>
        </w:rPr>
        <w:t>晋阳资产管理股份有限公司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44"/>
          <w:sz w:val="44"/>
          <w:szCs w:val="44"/>
          <w:highlight w:val="none"/>
          <w:lang w:val="en-US" w:eastAsia="zh-CN" w:bidi="ar-SA"/>
        </w:rPr>
        <w:t>2026</w:t>
      </w:r>
      <w:r>
        <w:rPr>
          <w:rStyle w:val="10"/>
          <w:rFonts w:hint="eastAsia" w:ascii="仿宋_GB2312" w:hAnsi="Calibri" w:eastAsia="方正小标宋简体" w:cs="Times New Roman"/>
          <w:b w:val="0"/>
          <w:bCs/>
          <w:i w:val="0"/>
          <w:caps w:val="0"/>
          <w:spacing w:val="0"/>
          <w:w w:val="100"/>
          <w:kern w:val="44"/>
          <w:sz w:val="44"/>
          <w:szCs w:val="44"/>
          <w:highlight w:val="none"/>
          <w:lang w:val="en-US" w:eastAsia="zh-CN" w:bidi="ar-SA"/>
        </w:rPr>
        <w:t>年公开招聘</w:t>
      </w:r>
      <w:r>
        <w:rPr>
          <w:rStyle w:val="10"/>
          <w:rFonts w:ascii="仿宋_GB2312" w:hAnsi="Calibri" w:eastAsia="方正小标宋简体" w:cs="Times New Roman"/>
          <w:b w:val="0"/>
          <w:bCs/>
          <w:i w:val="0"/>
          <w:caps w:val="0"/>
          <w:spacing w:val="0"/>
          <w:w w:val="100"/>
          <w:kern w:val="44"/>
          <w:sz w:val="44"/>
          <w:szCs w:val="44"/>
          <w:highlight w:val="none"/>
          <w:lang w:val="en-US" w:eastAsia="zh-CN" w:bidi="ar-SA"/>
        </w:rPr>
        <w:t>岗位要求</w:t>
      </w:r>
      <w:r>
        <w:rPr>
          <w:rStyle w:val="10"/>
          <w:rFonts w:hint="eastAsia" w:ascii="仿宋_GB2312" w:hAnsi="Calibri" w:eastAsia="方正小标宋简体" w:cs="Times New Roman"/>
          <w:b w:val="0"/>
          <w:bCs/>
          <w:i w:val="0"/>
          <w:caps w:val="0"/>
          <w:spacing w:val="0"/>
          <w:w w:val="100"/>
          <w:kern w:val="44"/>
          <w:sz w:val="44"/>
          <w:szCs w:val="44"/>
          <w:highlight w:val="none"/>
          <w:lang w:val="en-US" w:eastAsia="zh-CN" w:bidi="ar-SA"/>
        </w:rPr>
        <w:t>表</w:t>
      </w:r>
    </w:p>
    <w:tbl>
      <w:tblPr>
        <w:tblStyle w:val="6"/>
        <w:tblpPr w:leftFromText="180" w:rightFromText="180" w:vertAnchor="text" w:horzAnchor="page" w:tblpX="1501" w:tblpY="442"/>
        <w:tblOverlap w:val="never"/>
        <w:tblW w:w="133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741"/>
        <w:gridCol w:w="4728"/>
        <w:gridCol w:w="4239"/>
        <w:gridCol w:w="1185"/>
      </w:tblGrid>
      <w:tr w14:paraId="5AB2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500" w:type="dxa"/>
            <w:noWrap w:val="0"/>
            <w:vAlign w:val="center"/>
          </w:tcPr>
          <w:p w14:paraId="37E95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41" w:type="dxa"/>
            <w:noWrap w:val="0"/>
            <w:vAlign w:val="center"/>
          </w:tcPr>
          <w:p w14:paraId="0779C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4728" w:type="dxa"/>
            <w:noWrap w:val="0"/>
            <w:vAlign w:val="center"/>
          </w:tcPr>
          <w:p w14:paraId="52BDF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239" w:type="dxa"/>
            <w:noWrap w:val="0"/>
            <w:vAlign w:val="center"/>
          </w:tcPr>
          <w:p w14:paraId="61ACF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185" w:type="dxa"/>
            <w:noWrap w:val="0"/>
            <w:vAlign w:val="center"/>
          </w:tcPr>
          <w:p w14:paraId="765B8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人数</w:t>
            </w:r>
          </w:p>
        </w:tc>
      </w:tr>
      <w:tr w14:paraId="5674A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5" w:hRule="atLeast"/>
        </w:trPr>
        <w:tc>
          <w:tcPr>
            <w:tcW w:w="1500" w:type="dxa"/>
            <w:noWrap w:val="0"/>
            <w:vAlign w:val="center"/>
          </w:tcPr>
          <w:p w14:paraId="173DD635">
            <w:pPr>
              <w:pStyle w:val="11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晋阳资产管理股份有限公司</w:t>
            </w:r>
          </w:p>
        </w:tc>
        <w:tc>
          <w:tcPr>
            <w:tcW w:w="1741" w:type="dxa"/>
            <w:noWrap w:val="0"/>
            <w:vAlign w:val="center"/>
          </w:tcPr>
          <w:p w14:paraId="54DC971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业务经理岗</w:t>
            </w: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（破产重组重整方向）</w:t>
            </w:r>
          </w:p>
        </w:tc>
        <w:tc>
          <w:tcPr>
            <w:tcW w:w="4728" w:type="dxa"/>
            <w:noWrap w:val="0"/>
            <w:vAlign w:val="center"/>
          </w:tcPr>
          <w:p w14:paraId="7B832A7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1.负责公司破产管理人资质运营；</w:t>
            </w:r>
          </w:p>
          <w:p w14:paraId="46D6B41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2.负责协调债务人、债权人、人民法院或仲裁机构、其他中介机构（如资产评估机构、会计师事务所）；</w:t>
            </w:r>
          </w:p>
          <w:p w14:paraId="19BDD82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3.负责协调相关业务人员，开展破产管理人的相关工作和协调各方资源，挖掘破产重组项目业务机会；</w:t>
            </w:r>
          </w:p>
          <w:p w14:paraId="14A40BD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4.负责编制资产评估报告和预案，并提交相关监管部门审批；</w:t>
            </w:r>
          </w:p>
          <w:p w14:paraId="362412D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5.负责准备重组的相关文件，制定重组方案，进行尽职调查，分析风险和收益；</w:t>
            </w:r>
          </w:p>
          <w:p w14:paraId="0841F54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6.负责推进利益相关方实施资产交易，完成资产交易流程；</w:t>
            </w:r>
          </w:p>
          <w:p w14:paraId="352756B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7.负责对资产重组的实施过程进行跟踪，确保重组方案得到有效执行；</w:t>
            </w:r>
          </w:p>
          <w:p w14:paraId="3891BA5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8.负责破产衍生投资业务开展。</w:t>
            </w:r>
          </w:p>
        </w:tc>
        <w:tc>
          <w:tcPr>
            <w:tcW w:w="4239" w:type="dxa"/>
            <w:noWrap w:val="0"/>
            <w:vAlign w:val="center"/>
          </w:tcPr>
          <w:p w14:paraId="35CB82F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1.年龄40周岁及以下；</w:t>
            </w:r>
          </w:p>
          <w:p w14:paraId="025C25E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2.本科及以上学历；</w:t>
            </w:r>
          </w:p>
          <w:p w14:paraId="5BCF031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3.法学、会计学、财务管理、金融学相关专业；</w:t>
            </w:r>
          </w:p>
          <w:p w14:paraId="245E141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4.具有法律职业资格证书；</w:t>
            </w:r>
          </w:p>
          <w:p w14:paraId="7787408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5.具有5年以上法院、律所专门从事破产重整工作经验；</w:t>
            </w:r>
          </w:p>
          <w:p w14:paraId="72525B8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.具有不良资产破产重组相关业务知识，熟悉相关不良资产破产重组的法律法规及司法程序；</w:t>
            </w:r>
          </w:p>
          <w:p w14:paraId="70288D1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0"/>
                <w:rFonts w:hint="eastAsia" w:ascii="仿宋_GB2312" w:hAnsi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.工作地点：山西太原。</w:t>
            </w:r>
          </w:p>
        </w:tc>
        <w:tc>
          <w:tcPr>
            <w:tcW w:w="1185" w:type="dxa"/>
            <w:noWrap w:val="0"/>
            <w:vAlign w:val="center"/>
          </w:tcPr>
          <w:p w14:paraId="57961CDF">
            <w:pPr>
              <w:pStyle w:val="11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</w:tr>
      <w:tr w14:paraId="18038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500" w:type="dxa"/>
            <w:noWrap w:val="0"/>
            <w:vAlign w:val="center"/>
          </w:tcPr>
          <w:p w14:paraId="4B137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41" w:type="dxa"/>
            <w:noWrap w:val="0"/>
            <w:vAlign w:val="center"/>
          </w:tcPr>
          <w:p w14:paraId="0F694D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4728" w:type="dxa"/>
            <w:noWrap w:val="0"/>
            <w:vAlign w:val="center"/>
          </w:tcPr>
          <w:p w14:paraId="39EF7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239" w:type="dxa"/>
            <w:noWrap w:val="0"/>
            <w:vAlign w:val="center"/>
          </w:tcPr>
          <w:p w14:paraId="1AAE3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185" w:type="dxa"/>
            <w:noWrap w:val="0"/>
            <w:vAlign w:val="center"/>
          </w:tcPr>
          <w:p w14:paraId="76335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人数</w:t>
            </w:r>
          </w:p>
        </w:tc>
      </w:tr>
      <w:tr w14:paraId="039CC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500" w:type="dxa"/>
            <w:noWrap w:val="0"/>
            <w:vAlign w:val="center"/>
          </w:tcPr>
          <w:p w14:paraId="007075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晋阳资产管理股份有限公司</w:t>
            </w:r>
          </w:p>
        </w:tc>
        <w:tc>
          <w:tcPr>
            <w:tcW w:w="1741" w:type="dxa"/>
            <w:noWrap w:val="0"/>
            <w:vAlign w:val="center"/>
          </w:tcPr>
          <w:p w14:paraId="75EF9E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业务经理岗（大同分公司）</w:t>
            </w:r>
          </w:p>
        </w:tc>
        <w:tc>
          <w:tcPr>
            <w:tcW w:w="4728" w:type="dxa"/>
            <w:noWrap w:val="0"/>
            <w:vAlign w:val="center"/>
          </w:tcPr>
          <w:p w14:paraId="468D0CD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1.负责不良资产项目的市场开拓、信息搜集与客户接洽；</w:t>
            </w:r>
          </w:p>
          <w:p w14:paraId="1AC9A6C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2.负责对目标项目进行全面尽职调查，设计不良资产收购、重组及处置方案；</w:t>
            </w:r>
          </w:p>
          <w:p w14:paraId="138401F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3.负责对收购的不良资产推进司法程序、清收等工作等；</w:t>
            </w:r>
          </w:p>
          <w:p w14:paraId="7CAC180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4.负责撰写详尽的立项报告或投资建议书等，对存量项目持续进行投后管理等。</w:t>
            </w:r>
          </w:p>
        </w:tc>
        <w:tc>
          <w:tcPr>
            <w:tcW w:w="4239" w:type="dxa"/>
            <w:noWrap w:val="0"/>
            <w:vAlign w:val="center"/>
          </w:tcPr>
          <w:p w14:paraId="0675341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1.年龄40周岁及以下；</w:t>
            </w:r>
          </w:p>
          <w:p w14:paraId="55708EA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2.硕士研究生及以上学历；</w:t>
            </w:r>
          </w:p>
          <w:p w14:paraId="76410E5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3.金融学、经济学、法学相关专业；</w:t>
            </w:r>
          </w:p>
          <w:p w14:paraId="6423BD9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4.在金融机构、国有企业3年以上不良资产管理、处置部门工作，具备不良资产管理、处置工作经验者；或具有地方金融资产管理公司2年以上不良资产管理、处置经验者；或从事3年以上不良资产处置业务的律师；</w:t>
            </w:r>
          </w:p>
          <w:p w14:paraId="2D26F2D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0"/>
                <w:rFonts w:hint="eastAsia" w:ascii="仿宋_GB2312" w:hAnsi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.工作地点：山西大同。</w:t>
            </w:r>
          </w:p>
        </w:tc>
        <w:tc>
          <w:tcPr>
            <w:tcW w:w="1185" w:type="dxa"/>
            <w:noWrap w:val="0"/>
            <w:vAlign w:val="center"/>
          </w:tcPr>
          <w:p w14:paraId="061F4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10531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1500" w:type="dxa"/>
            <w:noWrap w:val="0"/>
            <w:vAlign w:val="center"/>
          </w:tcPr>
          <w:p w14:paraId="4AED7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晋阳资产管理股份有限公司</w:t>
            </w:r>
          </w:p>
        </w:tc>
        <w:tc>
          <w:tcPr>
            <w:tcW w:w="1741" w:type="dxa"/>
            <w:noWrap w:val="0"/>
            <w:vAlign w:val="center"/>
          </w:tcPr>
          <w:p w14:paraId="4C7EF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数智化信息管理岗（系统建设方向）</w:t>
            </w:r>
          </w:p>
        </w:tc>
        <w:tc>
          <w:tcPr>
            <w:tcW w:w="4728" w:type="dxa"/>
            <w:noWrap w:val="0"/>
            <w:vAlign w:val="center"/>
          </w:tcPr>
          <w:p w14:paraId="6DBEA5A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1.负责对系统的数智化运维建设；</w:t>
            </w:r>
          </w:p>
          <w:p w14:paraId="2CAB57D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2.负责系统的更新优化和管理；</w:t>
            </w:r>
          </w:p>
          <w:p w14:paraId="2152729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3.负责落实信息安全策略，处理安全事件，确保系统运维符合内控和行业监管要求；</w:t>
            </w:r>
          </w:p>
          <w:p w14:paraId="5B2E1E5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4.负责对系统故障的排查与处理等；</w:t>
            </w:r>
          </w:p>
          <w:p w14:paraId="01C8185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24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</w:p>
        </w:tc>
        <w:tc>
          <w:tcPr>
            <w:tcW w:w="4239" w:type="dxa"/>
            <w:noWrap w:val="0"/>
            <w:vAlign w:val="center"/>
          </w:tcPr>
          <w:p w14:paraId="0F2FF93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1.年龄35周岁以下；</w:t>
            </w:r>
          </w:p>
          <w:p w14:paraId="45533DF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2.硕士研究生及以上学历；</w:t>
            </w:r>
          </w:p>
          <w:p w14:paraId="20DD581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3.信息技术、软件工程相关专业；</w:t>
            </w:r>
          </w:p>
          <w:p w14:paraId="71C596F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4.具有3年以上企业系统建设工作经验；</w:t>
            </w:r>
          </w:p>
          <w:p w14:paraId="4285BB1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5.精通信息系统需求管理，具备数智化运营整体解决方案能力，沟通协调能力和高效执行力；</w:t>
            </w:r>
          </w:p>
          <w:p w14:paraId="543A1C4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6.工作地点：山西太原。</w:t>
            </w:r>
          </w:p>
        </w:tc>
        <w:tc>
          <w:tcPr>
            <w:tcW w:w="1185" w:type="dxa"/>
            <w:noWrap w:val="0"/>
            <w:vAlign w:val="center"/>
          </w:tcPr>
          <w:p w14:paraId="26C93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B4E6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500" w:type="dxa"/>
            <w:noWrap w:val="0"/>
            <w:vAlign w:val="center"/>
          </w:tcPr>
          <w:p w14:paraId="35F6F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41" w:type="dxa"/>
            <w:noWrap w:val="0"/>
            <w:vAlign w:val="center"/>
          </w:tcPr>
          <w:p w14:paraId="3A3F7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4728" w:type="dxa"/>
            <w:noWrap w:val="0"/>
            <w:vAlign w:val="center"/>
          </w:tcPr>
          <w:p w14:paraId="27943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239" w:type="dxa"/>
            <w:noWrap w:val="0"/>
            <w:vAlign w:val="center"/>
          </w:tcPr>
          <w:p w14:paraId="62F7E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185" w:type="dxa"/>
            <w:noWrap w:val="0"/>
            <w:vAlign w:val="center"/>
          </w:tcPr>
          <w:p w14:paraId="2B06F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人数</w:t>
            </w:r>
          </w:p>
        </w:tc>
      </w:tr>
      <w:tr w14:paraId="50963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4" w:hRule="atLeast"/>
        </w:trPr>
        <w:tc>
          <w:tcPr>
            <w:tcW w:w="1500" w:type="dxa"/>
            <w:noWrap w:val="0"/>
            <w:vAlign w:val="center"/>
          </w:tcPr>
          <w:p w14:paraId="350C7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晋阳资产管理股份有限公司</w:t>
            </w:r>
          </w:p>
        </w:tc>
        <w:tc>
          <w:tcPr>
            <w:tcW w:w="1741" w:type="dxa"/>
            <w:noWrap w:val="0"/>
            <w:vAlign w:val="center"/>
          </w:tcPr>
          <w:p w14:paraId="5BD01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政策研究岗</w:t>
            </w:r>
          </w:p>
        </w:tc>
        <w:tc>
          <w:tcPr>
            <w:tcW w:w="4728" w:type="dxa"/>
            <w:noWrap w:val="0"/>
            <w:vAlign w:val="center"/>
          </w:tcPr>
          <w:p w14:paraId="7E1A1D9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1.负责持续跟踪、搜集和分析国家、省、市各级政府部门发布的，与公司业务相关的政策法规和行业信息。</w:t>
            </w:r>
          </w:p>
          <w:p w14:paraId="3E42265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2.基于政策分析，需要编制专题研究报告、政策专报或决策建议等</w:t>
            </w: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instrText xml:space="preserve"> HYPERLINK "https://aeo.uibe.edu.cn/front/zwxx.jspa?xqzwId=32891&amp;zpxxId=121513" \t "https://chat.deepseek.com/a/chat/s/_blank" </w:instrText>
            </w: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fldChar w:fldCharType="end"/>
            </w: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7047C06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3.通过专业的研究，为公司的战略规划、经营策略和重大决策提供信息支持与建议。</w:t>
            </w:r>
          </w:p>
          <w:p w14:paraId="623409D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4.参与或牵头负责相关的政策研究课题，并可能涉及公司重大项目的申报等工作。</w:t>
            </w:r>
          </w:p>
          <w:p w14:paraId="679F0A6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5.协助建立并维护与政府部门、行业协会、研究机构等的外部关系，保持良好的沟通渠道。</w:t>
            </w:r>
          </w:p>
        </w:tc>
        <w:tc>
          <w:tcPr>
            <w:tcW w:w="4239" w:type="dxa"/>
            <w:noWrap w:val="0"/>
            <w:vAlign w:val="center"/>
          </w:tcPr>
          <w:p w14:paraId="5C791DE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1.年龄35周岁及以下；</w:t>
            </w:r>
          </w:p>
          <w:p w14:paraId="0DB7D7E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2.硕士研究生及以上学历，或双学位本科学历；</w:t>
            </w:r>
          </w:p>
          <w:p w14:paraId="3B726CB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3.经济学、金融学相关专业；</w:t>
            </w:r>
          </w:p>
          <w:p w14:paraId="52C265D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4.具有2年及以上相关研究、咨询工作经验，具有大型咨询管理机构等工作经验；</w:t>
            </w:r>
          </w:p>
          <w:p w14:paraId="4CC1D3D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5.具有较强的文字功底，能够独立撰写结构清晰、论据充分、语言精练的研究报告；</w:t>
            </w:r>
          </w:p>
          <w:p w14:paraId="4908FB8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6.能够准确把握政策导向；</w:t>
            </w:r>
          </w:p>
          <w:p w14:paraId="4F6589F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7.工作地点：山西太原。</w:t>
            </w:r>
          </w:p>
        </w:tc>
        <w:tc>
          <w:tcPr>
            <w:tcW w:w="1185" w:type="dxa"/>
            <w:noWrap w:val="0"/>
            <w:vAlign w:val="center"/>
          </w:tcPr>
          <w:p w14:paraId="42186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69BD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3" w:hRule="atLeast"/>
        </w:trPr>
        <w:tc>
          <w:tcPr>
            <w:tcW w:w="1500" w:type="dxa"/>
            <w:noWrap w:val="0"/>
            <w:vAlign w:val="center"/>
          </w:tcPr>
          <w:p w14:paraId="12D7EC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晋阳资产管理股份有限公司</w:t>
            </w:r>
          </w:p>
        </w:tc>
        <w:tc>
          <w:tcPr>
            <w:tcW w:w="1741" w:type="dxa"/>
            <w:noWrap w:val="0"/>
            <w:vAlign w:val="center"/>
          </w:tcPr>
          <w:p w14:paraId="4FEAE1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业务审查岗</w:t>
            </w:r>
          </w:p>
        </w:tc>
        <w:tc>
          <w:tcPr>
            <w:tcW w:w="4728" w:type="dxa"/>
            <w:noWrap w:val="0"/>
            <w:vAlign w:val="center"/>
          </w:tcPr>
          <w:p w14:paraId="7D117FE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1.负责项目方案完整性、合规性、可行性的论证分析，具体对底层资产、商业逻辑、交易结构、担保措施、退出方式、主要风险等审查并能独立出具合规性意见及业务审查意见。</w:t>
            </w:r>
          </w:p>
          <w:p w14:paraId="7B858C5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2.负责完善业务审查机制，制定相关制度及公司经济合同的合规审查。</w:t>
            </w:r>
          </w:p>
          <w:p w14:paraId="4351E1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239" w:type="dxa"/>
            <w:noWrap w:val="0"/>
            <w:vAlign w:val="center"/>
          </w:tcPr>
          <w:p w14:paraId="71846BA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1.年龄35周岁及以下；</w:t>
            </w:r>
          </w:p>
          <w:p w14:paraId="6E01CDE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2.硕士研究生及以上学历；</w:t>
            </w:r>
          </w:p>
          <w:p w14:paraId="23FD52C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3.法学、金融学、会计学相关专业；</w:t>
            </w:r>
          </w:p>
          <w:p w14:paraId="2464177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4.掌握风险、合规管理的相关专业知识，熟悉不良资产行业法律法规及业务运营等，具有3年以上金融机构或资产管理公司业务审查工作经验。</w:t>
            </w:r>
          </w:p>
          <w:p w14:paraId="331E48C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5.具有较强的沟通表达和团队协调能力，具有较强的合规风险意识和服务意识。</w:t>
            </w:r>
          </w:p>
          <w:p w14:paraId="797E8A1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6.工作地点：山西太原。</w:t>
            </w:r>
          </w:p>
        </w:tc>
        <w:tc>
          <w:tcPr>
            <w:tcW w:w="1185" w:type="dxa"/>
            <w:noWrap w:val="0"/>
            <w:vAlign w:val="center"/>
          </w:tcPr>
          <w:p w14:paraId="10EAD2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</w:tr>
    </w:tbl>
    <w:p w14:paraId="3DFC0650">
      <w:pPr>
        <w:keepNext w:val="0"/>
        <w:keepLines w:val="0"/>
        <w:widowControl w:val="0"/>
        <w:suppressLineNumbers w:val="0"/>
        <w:tabs>
          <w:tab w:val="left" w:pos="2055"/>
        </w:tabs>
        <w:spacing w:before="0" w:beforeAutospacing="0" w:after="0" w:afterAutospacing="0" w:line="580" w:lineRule="exact"/>
        <w:ind w:left="0" w:leftChars="0" w:right="0" w:firstLine="0" w:firstLineChars="0"/>
        <w:jc w:val="left"/>
        <w:rPr>
          <w:rFonts w:hint="eastAsia" w:ascii="仿宋_GB2312" w:hAnsi="Calibri" w:eastAsia="仿宋_GB2312" w:cs="Times New Roman"/>
          <w:kern w:val="2"/>
          <w:sz w:val="32"/>
          <w:szCs w:val="32"/>
        </w:rPr>
        <w:sectPr>
          <w:footerReference r:id="rId3" w:type="default"/>
          <w:pgSz w:w="16838" w:h="11906" w:orient="landscape"/>
          <w:pgMar w:top="1531" w:right="2098" w:bottom="1531" w:left="1984" w:header="851" w:footer="992" w:gutter="0"/>
          <w:pgNumType w:fmt="numberInDash"/>
          <w:cols w:space="720" w:num="1"/>
          <w:docGrid w:type="linesAndChars" w:linePitch="312" w:charSpace="0"/>
        </w:sectPr>
      </w:pPr>
    </w:p>
    <w:p w14:paraId="6CBE7E1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13A43">
    <w:pPr>
      <w:pStyle w:val="3"/>
      <w:jc w:val="right"/>
      <w:rPr>
        <w:kern w:val="0"/>
        <w:sz w:val="21"/>
        <w:szCs w:val="32"/>
      </w:rPr>
    </w:pPr>
  </w:p>
  <w:p w14:paraId="1EFE682E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057FC"/>
    <w:rsid w:val="65E057FC"/>
    <w:rsid w:val="67976CE2"/>
    <w:rsid w:val="7E7B25D3"/>
    <w:rsid w:val="FBFE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Times New Roman" w:hAnsi="Times New Roman" w:cs="Times New Roman"/>
      <w:b/>
      <w:color w:val="FF0000"/>
      <w:w w:val="50"/>
      <w:sz w:val="96"/>
      <w:szCs w:val="4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Heading1"/>
    <w:basedOn w:val="1"/>
    <w:next w:val="9"/>
    <w:qFormat/>
    <w:uiPriority w:val="0"/>
    <w:pPr>
      <w:keepNext/>
      <w:keepLines/>
      <w:spacing w:before="0" w:after="0" w:line="580" w:lineRule="exact"/>
      <w:ind w:firstLineChars="0"/>
      <w:jc w:val="center"/>
      <w:textAlignment w:val="baseline"/>
    </w:pPr>
    <w:rPr>
      <w:rFonts w:ascii="仿宋_GB2312" w:hAnsi="Calibri" w:eastAsia="方正小标宋简体" w:cs="Times New Roman"/>
      <w:bCs/>
      <w:kern w:val="44"/>
      <w:sz w:val="44"/>
      <w:szCs w:val="44"/>
      <w:lang w:val="en-US" w:eastAsia="zh-CN" w:bidi="ar-SA"/>
    </w:rPr>
  </w:style>
  <w:style w:type="paragraph" w:customStyle="1" w:styleId="9">
    <w:name w:val="Heading2"/>
    <w:basedOn w:val="1"/>
    <w:next w:val="1"/>
    <w:qFormat/>
    <w:uiPriority w:val="0"/>
    <w:pPr>
      <w:keepNext/>
      <w:keepLines/>
      <w:spacing w:before="0" w:after="0" w:line="580" w:lineRule="exact"/>
      <w:ind w:left="200" w:leftChars="200" w:firstLineChars="0"/>
      <w:jc w:val="both"/>
      <w:textAlignment w:val="baseline"/>
    </w:pPr>
    <w:rPr>
      <w:rFonts w:ascii="黑体" w:hAnsi="黑体" w:eastAsia="黑体" w:cs="Times New Roman"/>
      <w:bCs/>
      <w:kern w:val="2"/>
      <w:sz w:val="32"/>
      <w:szCs w:val="32"/>
      <w:lang w:val="en-US" w:eastAsia="zh-CN" w:bidi="ar-SA"/>
    </w:rPr>
  </w:style>
  <w:style w:type="character" w:customStyle="1" w:styleId="10">
    <w:name w:val="NormalCharacter"/>
    <w:semiHidden/>
    <w:qFormat/>
    <w:uiPriority w:val="0"/>
    <w:rPr>
      <w:rFonts w:ascii="仿宋_GB2312" w:hAnsi="Calibri" w:eastAsia="仿宋_GB2312" w:cs="Times New Roman"/>
      <w:kern w:val="2"/>
      <w:sz w:val="32"/>
      <w:szCs w:val="22"/>
      <w:lang w:val="en-US" w:eastAsia="zh-CN" w:bidi="ar-SA"/>
    </w:rPr>
  </w:style>
  <w:style w:type="paragraph" w:customStyle="1" w:styleId="11">
    <w:name w:val="UserStyle_0"/>
    <w:basedOn w:val="1"/>
    <w:next w:val="1"/>
    <w:qFormat/>
    <w:uiPriority w:val="0"/>
    <w:pPr>
      <w:spacing w:before="0" w:after="0" w:line="400" w:lineRule="exact"/>
      <w:ind w:firstLine="200" w:firstLineChars="200"/>
      <w:jc w:val="left"/>
      <w:textAlignment w:val="baseline"/>
    </w:pPr>
    <w:rPr>
      <w:rFonts w:ascii="Calibri" w:hAnsi="Calibri" w:eastAsia="仿宋_GB2312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1603</Words>
  <Characters>1665</Characters>
  <Lines>0</Lines>
  <Paragraphs>0</Paragraphs>
  <TotalTime>0</TotalTime>
  <ScaleCrop>false</ScaleCrop>
  <LinksUpToDate>false</LinksUpToDate>
  <CharactersWithSpaces>1665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2026-08-25T18:26:00Z</dcterms:created>
  <dc:creator>3L</dc:creator>
  <cp:lastModifiedBy>3L</cp:lastModifiedBy>
  <dcterms:modified xsi:type="dcterms:W3CDTF">2026-08-26T01:21:26Z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FDACF4C24D8746F1B5BC9C99F3C9E7B7_11</vt:lpwstr>
  </property>
  <property fmtid="{D5CDD505-2E9C-101B-9397-08002B2CF9AE}" pid="4" name="KSOTemplateDocerSaveRecord">
    <vt:lpwstr>eyJoZGlkIjoiYWM0MzZjYWRjZTlhMmI4ZDNlNzRlYWM0NTRkNWNjZTkiLCJ1c2VySWQiOiIzNTAyNDg5NDkifQ==</vt:lpwstr>
  </property>
</Properties>
</file>