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B4D83">
      <w:pPr>
        <w:spacing w:before="156" w:beforeLines="50" w:after="156" w:afterLines="50" w:line="560" w:lineRule="exact"/>
        <w:jc w:val="center"/>
        <w:rPr>
          <w:rFonts w:hint="eastAsia" w:ascii="方正小标宋简体" w:hAnsi="方正小标宋简体" w:eastAsia="方正小标宋简体" w:cs="方正小标宋简体"/>
          <w:color w:val="auto"/>
          <w:kern w:val="0"/>
          <w:sz w:val="36"/>
          <w:szCs w:val="36"/>
          <w:lang w:eastAsia="zh-CN"/>
        </w:rPr>
      </w:pPr>
      <w:r>
        <w:rPr>
          <w:rFonts w:hint="eastAsia" w:ascii="方正小标宋简体" w:hAnsi="方正小标宋简体" w:eastAsia="方正小标宋简体" w:cs="方正小标宋简体"/>
          <w:color w:val="auto"/>
          <w:kern w:val="0"/>
          <w:sz w:val="36"/>
          <w:szCs w:val="36"/>
          <w:lang w:val="en-US" w:eastAsia="zh-CN"/>
        </w:rPr>
        <w:t>《常德</w:t>
      </w:r>
      <w:r>
        <w:rPr>
          <w:rFonts w:hint="eastAsia" w:ascii="方正小标宋简体" w:hAnsi="方正小标宋简体" w:eastAsia="方正小标宋简体" w:cs="方正小标宋简体"/>
          <w:color w:val="auto"/>
          <w:kern w:val="0"/>
          <w:sz w:val="36"/>
          <w:szCs w:val="36"/>
        </w:rPr>
        <w:t>金鹏印务有限公司</w:t>
      </w:r>
      <w:r>
        <w:rPr>
          <w:rFonts w:hint="eastAsia" w:ascii="方正小标宋简体" w:hAnsi="方正小标宋简体" w:eastAsia="方正小标宋简体" w:cs="方正小标宋简体"/>
          <w:color w:val="auto"/>
          <w:kern w:val="0"/>
          <w:sz w:val="36"/>
          <w:szCs w:val="36"/>
          <w:lang w:eastAsia="zh-CN"/>
        </w:rPr>
        <w:t>202</w:t>
      </w:r>
      <w:r>
        <w:rPr>
          <w:rFonts w:hint="eastAsia" w:ascii="方正小标宋简体" w:hAnsi="方正小标宋简体" w:eastAsia="方正小标宋简体" w:cs="方正小标宋简体"/>
          <w:color w:val="auto"/>
          <w:kern w:val="0"/>
          <w:sz w:val="36"/>
          <w:szCs w:val="36"/>
          <w:lang w:val="en-US" w:eastAsia="zh-CN"/>
        </w:rPr>
        <w:t>6</w:t>
      </w:r>
      <w:r>
        <w:rPr>
          <w:rFonts w:hint="eastAsia" w:ascii="方正小标宋简体" w:hAnsi="方正小标宋简体" w:eastAsia="方正小标宋简体" w:cs="方正小标宋简体"/>
          <w:color w:val="auto"/>
          <w:kern w:val="0"/>
          <w:sz w:val="36"/>
          <w:szCs w:val="36"/>
        </w:rPr>
        <w:t>年招聘计划表</w:t>
      </w:r>
      <w:r>
        <w:rPr>
          <w:rFonts w:hint="eastAsia" w:ascii="方正小标宋简体" w:hAnsi="方正小标宋简体" w:eastAsia="方正小标宋简体" w:cs="方正小标宋简体"/>
          <w:color w:val="auto"/>
          <w:kern w:val="0"/>
          <w:sz w:val="36"/>
          <w:szCs w:val="36"/>
          <w:lang w:eastAsia="zh-CN"/>
        </w:rPr>
        <w:t>》</w:t>
      </w:r>
    </w:p>
    <w:tbl>
      <w:tblPr>
        <w:tblStyle w:val="3"/>
        <w:tblW w:w="14172" w:type="dxa"/>
        <w:jc w:val="center"/>
        <w:tblLayout w:type="autofit"/>
        <w:tblCellMar>
          <w:top w:w="0" w:type="dxa"/>
          <w:left w:w="108" w:type="dxa"/>
          <w:bottom w:w="0" w:type="dxa"/>
          <w:right w:w="108" w:type="dxa"/>
        </w:tblCellMar>
      </w:tblPr>
      <w:tblGrid>
        <w:gridCol w:w="652"/>
        <w:gridCol w:w="1282"/>
        <w:gridCol w:w="588"/>
        <w:gridCol w:w="1309"/>
        <w:gridCol w:w="3300"/>
        <w:gridCol w:w="4440"/>
        <w:gridCol w:w="2601"/>
      </w:tblGrid>
      <w:tr w14:paraId="717F9EA7">
        <w:tblPrEx>
          <w:tblCellMar>
            <w:top w:w="0" w:type="dxa"/>
            <w:left w:w="108" w:type="dxa"/>
            <w:bottom w:w="0" w:type="dxa"/>
            <w:right w:w="108" w:type="dxa"/>
          </w:tblCellMar>
        </w:tblPrEx>
        <w:trPr>
          <w:trHeight w:val="363" w:hRule="atLeast"/>
          <w:tblHeader/>
          <w:jc w:val="center"/>
        </w:trPr>
        <w:tc>
          <w:tcPr>
            <w:tcW w:w="652" w:type="dxa"/>
            <w:vMerge w:val="restart"/>
            <w:tcBorders>
              <w:top w:val="single" w:color="auto" w:sz="4" w:space="0"/>
              <w:left w:val="single" w:color="auto" w:sz="4" w:space="0"/>
              <w:bottom w:val="single" w:color="auto" w:sz="4" w:space="0"/>
              <w:right w:val="single" w:color="auto" w:sz="4" w:space="0"/>
            </w:tcBorders>
            <w:vAlign w:val="center"/>
          </w:tcPr>
          <w:p w14:paraId="1285A65B">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序号</w:t>
            </w:r>
          </w:p>
        </w:tc>
        <w:tc>
          <w:tcPr>
            <w:tcW w:w="1282" w:type="dxa"/>
            <w:vMerge w:val="restart"/>
            <w:tcBorders>
              <w:top w:val="single" w:color="auto" w:sz="4" w:space="0"/>
              <w:left w:val="single" w:color="auto" w:sz="4" w:space="0"/>
              <w:bottom w:val="single" w:color="auto" w:sz="4" w:space="0"/>
              <w:right w:val="single" w:color="auto" w:sz="4" w:space="0"/>
            </w:tcBorders>
            <w:vAlign w:val="center"/>
          </w:tcPr>
          <w:p w14:paraId="434E78A9">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岗位</w:t>
            </w:r>
          </w:p>
        </w:tc>
        <w:tc>
          <w:tcPr>
            <w:tcW w:w="588" w:type="dxa"/>
            <w:vMerge w:val="restart"/>
            <w:tcBorders>
              <w:top w:val="single" w:color="auto" w:sz="4" w:space="0"/>
              <w:left w:val="single" w:color="auto" w:sz="4" w:space="0"/>
              <w:bottom w:val="single" w:color="auto" w:sz="4" w:space="0"/>
              <w:right w:val="single" w:color="auto" w:sz="4" w:space="0"/>
            </w:tcBorders>
            <w:vAlign w:val="center"/>
          </w:tcPr>
          <w:p w14:paraId="5EDE597E">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人数</w:t>
            </w:r>
          </w:p>
        </w:tc>
        <w:tc>
          <w:tcPr>
            <w:tcW w:w="9049" w:type="dxa"/>
            <w:gridSpan w:val="3"/>
            <w:tcBorders>
              <w:top w:val="single" w:color="auto" w:sz="4" w:space="0"/>
              <w:left w:val="single" w:color="auto" w:sz="4" w:space="0"/>
              <w:bottom w:val="single" w:color="auto" w:sz="4" w:space="0"/>
              <w:right w:val="single" w:color="auto" w:sz="4" w:space="0"/>
            </w:tcBorders>
            <w:vAlign w:val="center"/>
          </w:tcPr>
          <w:p w14:paraId="2C7161BB">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招录条件</w:t>
            </w:r>
          </w:p>
        </w:tc>
        <w:tc>
          <w:tcPr>
            <w:tcW w:w="2601" w:type="dxa"/>
            <w:vMerge w:val="restart"/>
            <w:tcBorders>
              <w:top w:val="single" w:color="auto" w:sz="4" w:space="0"/>
              <w:left w:val="single" w:color="auto" w:sz="4" w:space="0"/>
              <w:right w:val="single" w:color="auto" w:sz="4" w:space="0"/>
            </w:tcBorders>
            <w:vAlign w:val="center"/>
          </w:tcPr>
          <w:p w14:paraId="55C82373">
            <w:pPr>
              <w:widowControl/>
              <w:shd w:val="clear"/>
              <w:spacing w:line="360" w:lineRule="exact"/>
              <w:jc w:val="center"/>
              <w:rPr>
                <w:rFonts w:hint="eastAsia" w:ascii="黑体" w:hAnsi="黑体" w:eastAsia="黑体" w:cs="黑体"/>
                <w:bCs/>
                <w:color w:val="auto"/>
                <w:kern w:val="0"/>
                <w:szCs w:val="21"/>
              </w:rPr>
            </w:pPr>
            <w:r>
              <w:rPr>
                <w:rFonts w:hint="eastAsia" w:ascii="黑体" w:hAnsi="黑体" w:eastAsia="黑体" w:cs="黑体"/>
                <w:bCs/>
                <w:color w:val="auto"/>
                <w:kern w:val="0"/>
                <w:szCs w:val="21"/>
              </w:rPr>
              <w:t>备注</w:t>
            </w:r>
          </w:p>
        </w:tc>
      </w:tr>
      <w:tr w14:paraId="33897EC9">
        <w:tblPrEx>
          <w:tblCellMar>
            <w:top w:w="0" w:type="dxa"/>
            <w:left w:w="108" w:type="dxa"/>
            <w:bottom w:w="0" w:type="dxa"/>
            <w:right w:w="108" w:type="dxa"/>
          </w:tblCellMar>
        </w:tblPrEx>
        <w:trPr>
          <w:trHeight w:val="270" w:hRule="atLeast"/>
          <w:tblHeader/>
          <w:jc w:val="center"/>
        </w:trPr>
        <w:tc>
          <w:tcPr>
            <w:tcW w:w="652" w:type="dxa"/>
            <w:vMerge w:val="continue"/>
            <w:tcBorders>
              <w:top w:val="single" w:color="auto" w:sz="4" w:space="0"/>
              <w:left w:val="single" w:color="auto" w:sz="4" w:space="0"/>
              <w:bottom w:val="single" w:color="auto" w:sz="4" w:space="0"/>
              <w:right w:val="single" w:color="auto" w:sz="4" w:space="0"/>
            </w:tcBorders>
            <w:vAlign w:val="center"/>
          </w:tcPr>
          <w:p w14:paraId="69DB5CA7">
            <w:pPr>
              <w:widowControl/>
              <w:shd w:val="clear"/>
              <w:spacing w:line="360" w:lineRule="exact"/>
              <w:jc w:val="left"/>
              <w:rPr>
                <w:rFonts w:ascii="黑体" w:hAnsi="黑体" w:eastAsia="黑体" w:cs="黑体"/>
                <w:bCs/>
                <w:color w:val="auto"/>
                <w:kern w:val="0"/>
                <w:szCs w:val="21"/>
              </w:rPr>
            </w:pPr>
          </w:p>
        </w:tc>
        <w:tc>
          <w:tcPr>
            <w:tcW w:w="1282" w:type="dxa"/>
            <w:vMerge w:val="continue"/>
            <w:tcBorders>
              <w:top w:val="single" w:color="auto" w:sz="4" w:space="0"/>
              <w:left w:val="single" w:color="auto" w:sz="4" w:space="0"/>
              <w:bottom w:val="single" w:color="auto" w:sz="4" w:space="0"/>
              <w:right w:val="single" w:color="auto" w:sz="4" w:space="0"/>
            </w:tcBorders>
            <w:vAlign w:val="center"/>
          </w:tcPr>
          <w:p w14:paraId="482AD152">
            <w:pPr>
              <w:widowControl/>
              <w:shd w:val="clear"/>
              <w:spacing w:line="360" w:lineRule="exact"/>
              <w:jc w:val="left"/>
              <w:rPr>
                <w:rFonts w:ascii="黑体" w:hAnsi="黑体" w:eastAsia="黑体" w:cs="黑体"/>
                <w:bCs/>
                <w:color w:val="auto"/>
                <w:kern w:val="0"/>
                <w:szCs w:val="21"/>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5091CF3B">
            <w:pPr>
              <w:widowControl/>
              <w:shd w:val="clear"/>
              <w:spacing w:line="360" w:lineRule="exact"/>
              <w:jc w:val="left"/>
              <w:rPr>
                <w:rFonts w:ascii="黑体" w:hAnsi="黑体" w:eastAsia="黑体" w:cs="黑体"/>
                <w:bCs/>
                <w:color w:val="auto"/>
                <w:kern w:val="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14:paraId="5D64AFAA">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学历</w:t>
            </w:r>
          </w:p>
        </w:tc>
        <w:tc>
          <w:tcPr>
            <w:tcW w:w="3300" w:type="dxa"/>
            <w:tcBorders>
              <w:top w:val="single" w:color="auto" w:sz="4" w:space="0"/>
              <w:left w:val="single" w:color="auto" w:sz="4" w:space="0"/>
              <w:bottom w:val="single" w:color="auto" w:sz="4" w:space="0"/>
              <w:right w:val="single" w:color="auto" w:sz="4" w:space="0"/>
            </w:tcBorders>
            <w:vAlign w:val="center"/>
          </w:tcPr>
          <w:p w14:paraId="3F0420D8">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专业</w:t>
            </w:r>
          </w:p>
        </w:tc>
        <w:tc>
          <w:tcPr>
            <w:tcW w:w="4440" w:type="dxa"/>
            <w:tcBorders>
              <w:top w:val="single" w:color="auto" w:sz="4" w:space="0"/>
              <w:left w:val="single" w:color="auto" w:sz="4" w:space="0"/>
              <w:bottom w:val="single" w:color="auto" w:sz="4" w:space="0"/>
              <w:right w:val="single" w:color="auto" w:sz="4" w:space="0"/>
            </w:tcBorders>
            <w:shd w:val="clear" w:color="auto" w:fill="auto"/>
            <w:vAlign w:val="center"/>
          </w:tcPr>
          <w:p w14:paraId="222F6F10">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其他招录条件及说明</w:t>
            </w:r>
          </w:p>
        </w:tc>
        <w:tc>
          <w:tcPr>
            <w:tcW w:w="2601" w:type="dxa"/>
            <w:vMerge w:val="continue"/>
            <w:tcBorders>
              <w:left w:val="single" w:color="auto" w:sz="4" w:space="0"/>
              <w:bottom w:val="single" w:color="auto" w:sz="4" w:space="0"/>
              <w:right w:val="single" w:color="auto" w:sz="4" w:space="0"/>
            </w:tcBorders>
          </w:tcPr>
          <w:p w14:paraId="1DC08B29">
            <w:pPr>
              <w:widowControl/>
              <w:shd w:val="clear"/>
              <w:spacing w:line="360" w:lineRule="exact"/>
              <w:jc w:val="center"/>
              <w:rPr>
                <w:rFonts w:ascii="宋体" w:hAnsi="宋体"/>
                <w:color w:val="auto"/>
                <w:kern w:val="0"/>
                <w:szCs w:val="21"/>
              </w:rPr>
            </w:pPr>
          </w:p>
        </w:tc>
      </w:tr>
      <w:tr w14:paraId="20C907D2">
        <w:tblPrEx>
          <w:tblCellMar>
            <w:top w:w="0" w:type="dxa"/>
            <w:left w:w="108" w:type="dxa"/>
            <w:bottom w:w="0" w:type="dxa"/>
            <w:right w:w="108" w:type="dxa"/>
          </w:tblCellMar>
        </w:tblPrEx>
        <w:trPr>
          <w:trHeight w:val="795"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7BE37C5C">
            <w:pPr>
              <w:widowControl/>
              <w:shd w:val="clear"/>
              <w:spacing w:line="300" w:lineRule="exact"/>
              <w:jc w:val="center"/>
              <w:rPr>
                <w:rFonts w:ascii="宋体" w:hAnsi="宋体" w:eastAsia="宋体" w:cs="宋体"/>
                <w:color w:val="auto"/>
                <w:kern w:val="0"/>
                <w:szCs w:val="21"/>
              </w:rPr>
            </w:pPr>
            <w:r>
              <w:rPr>
                <w:rFonts w:hint="eastAsia" w:ascii="宋体" w:hAnsi="宋体" w:cs="宋体"/>
                <w:color w:val="auto"/>
                <w:kern w:val="0"/>
                <w:szCs w:val="21"/>
              </w:rPr>
              <w:t>1</w:t>
            </w:r>
          </w:p>
        </w:tc>
        <w:tc>
          <w:tcPr>
            <w:tcW w:w="1282" w:type="dxa"/>
            <w:tcBorders>
              <w:top w:val="single" w:color="auto" w:sz="4" w:space="0"/>
              <w:left w:val="single" w:color="auto" w:sz="4" w:space="0"/>
              <w:bottom w:val="single" w:color="auto" w:sz="4" w:space="0"/>
              <w:right w:val="single" w:color="auto" w:sz="4" w:space="0"/>
            </w:tcBorders>
            <w:vAlign w:val="center"/>
          </w:tcPr>
          <w:p w14:paraId="6059CEFD">
            <w:pPr>
              <w:widowControl/>
              <w:shd w:val="clear"/>
              <w:spacing w:line="300" w:lineRule="exact"/>
              <w:jc w:val="center"/>
              <w:rPr>
                <w:rFonts w:ascii="宋体" w:hAnsi="宋体" w:eastAsia="宋体" w:cs="宋体"/>
                <w:color w:val="auto"/>
                <w:kern w:val="0"/>
                <w:szCs w:val="21"/>
              </w:rPr>
            </w:pPr>
            <w:r>
              <w:rPr>
                <w:rFonts w:hint="eastAsia" w:ascii="宋体" w:hAnsi="宋体" w:eastAsia="宋体" w:cs="宋体"/>
                <w:color w:val="auto"/>
                <w:kern w:val="0"/>
                <w:szCs w:val="21"/>
              </w:rPr>
              <w:t>生产车间</w:t>
            </w:r>
          </w:p>
          <w:p w14:paraId="7A0D03AB">
            <w:pPr>
              <w:widowControl/>
              <w:shd w:val="clear"/>
              <w:spacing w:line="300" w:lineRule="exact"/>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技术工人</w:t>
            </w:r>
            <w:r>
              <w:rPr>
                <w:rFonts w:hint="eastAsia" w:ascii="宋体" w:hAnsi="宋体" w:eastAsia="宋体" w:cs="宋体"/>
                <w:color w:val="auto"/>
                <w:kern w:val="0"/>
                <w:szCs w:val="21"/>
                <w:lang w:val="en-US" w:eastAsia="zh-CN"/>
              </w:rPr>
              <w:t>一</w:t>
            </w:r>
          </w:p>
        </w:tc>
        <w:tc>
          <w:tcPr>
            <w:tcW w:w="588" w:type="dxa"/>
            <w:tcBorders>
              <w:top w:val="single" w:color="auto" w:sz="4" w:space="0"/>
              <w:left w:val="single" w:color="auto" w:sz="4" w:space="0"/>
              <w:bottom w:val="single" w:color="auto" w:sz="4" w:space="0"/>
              <w:right w:val="single" w:color="auto" w:sz="4" w:space="0"/>
            </w:tcBorders>
            <w:vAlign w:val="center"/>
          </w:tcPr>
          <w:p w14:paraId="201A750A">
            <w:pPr>
              <w:widowControl/>
              <w:shd w:val="clear"/>
              <w:spacing w:line="300" w:lineRule="exact"/>
              <w:jc w:val="center"/>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3</w:t>
            </w:r>
          </w:p>
        </w:tc>
        <w:tc>
          <w:tcPr>
            <w:tcW w:w="1309" w:type="dxa"/>
            <w:tcBorders>
              <w:top w:val="single" w:color="auto" w:sz="4" w:space="0"/>
              <w:left w:val="single" w:color="auto" w:sz="4" w:space="0"/>
              <w:bottom w:val="single" w:color="auto" w:sz="4" w:space="0"/>
              <w:right w:val="single" w:color="auto" w:sz="4" w:space="0"/>
            </w:tcBorders>
            <w:vAlign w:val="center"/>
          </w:tcPr>
          <w:p w14:paraId="6524E57B">
            <w:pPr>
              <w:widowControl/>
              <w:shd w:val="clear"/>
              <w:spacing w:line="300" w:lineRule="exact"/>
              <w:jc w:val="center"/>
              <w:rPr>
                <w:rFonts w:ascii="宋体" w:hAnsi="宋体" w:eastAsia="宋体" w:cs="宋体"/>
                <w:color w:val="auto"/>
                <w:kern w:val="0"/>
                <w:szCs w:val="21"/>
              </w:rPr>
            </w:pPr>
            <w:r>
              <w:rPr>
                <w:rFonts w:hint="eastAsia" w:ascii="宋体" w:hAnsi="宋体" w:eastAsia="宋体" w:cs="宋体"/>
                <w:color w:val="auto"/>
                <w:kern w:val="0"/>
                <w:szCs w:val="21"/>
              </w:rPr>
              <w:t>本科及以上</w:t>
            </w:r>
          </w:p>
        </w:tc>
        <w:tc>
          <w:tcPr>
            <w:tcW w:w="3300" w:type="dxa"/>
            <w:tcBorders>
              <w:top w:val="single" w:color="auto" w:sz="4" w:space="0"/>
              <w:left w:val="single" w:color="auto" w:sz="4" w:space="0"/>
              <w:bottom w:val="single" w:color="auto" w:sz="4" w:space="0"/>
              <w:right w:val="single" w:color="auto" w:sz="4" w:space="0"/>
            </w:tcBorders>
            <w:vAlign w:val="center"/>
          </w:tcPr>
          <w:p w14:paraId="1FF6D3F9">
            <w:pPr>
              <w:widowControl/>
              <w:shd w:val="clear"/>
              <w:spacing w:line="300" w:lineRule="exact"/>
              <w:jc w:val="left"/>
              <w:rPr>
                <w:rFonts w:hint="default" w:ascii="宋体" w:hAnsi="宋体" w:eastAsia="宋体" w:cs="宋体"/>
                <w:color w:val="auto"/>
                <w:kern w:val="0"/>
                <w:szCs w:val="21"/>
                <w:lang w:val="en-US" w:eastAsia="zh-CN"/>
              </w:rPr>
            </w:pPr>
            <w:r>
              <w:rPr>
                <w:rFonts w:hint="eastAsia" w:ascii="宋体" w:hAnsi="宋体" w:cs="宋体"/>
                <w:color w:val="auto"/>
                <w:szCs w:val="21"/>
                <w:lang w:val="en-US" w:eastAsia="zh-CN"/>
              </w:rPr>
              <w:t>数据科学与大数据技术、大数据工程技术、人工智能工程技术、物联网工程、物联网工程技术、大数据技术与工程硕士、人工智能硕士、环境工程、环境科学、环境工程硕士、环境科学与工程</w:t>
            </w:r>
          </w:p>
        </w:tc>
        <w:tc>
          <w:tcPr>
            <w:tcW w:w="4440" w:type="dxa"/>
            <w:vMerge w:val="restart"/>
            <w:tcBorders>
              <w:top w:val="single" w:color="auto" w:sz="4" w:space="0"/>
              <w:left w:val="single" w:color="auto" w:sz="4" w:space="0"/>
              <w:right w:val="single" w:color="auto" w:sz="4" w:space="0"/>
            </w:tcBorders>
            <w:shd w:val="clear" w:color="auto" w:fill="auto"/>
            <w:vAlign w:val="center"/>
          </w:tcPr>
          <w:p w14:paraId="446525CB">
            <w:pPr>
              <w:widowControl/>
              <w:shd w:val="clear"/>
              <w:spacing w:line="300" w:lineRule="exact"/>
              <w:jc w:val="center"/>
              <w:rPr>
                <w:rFonts w:hint="eastAsia" w:ascii="宋体" w:hAnsi="宋体" w:cs="宋体"/>
                <w:color w:val="auto"/>
                <w:kern w:val="0"/>
                <w:szCs w:val="21"/>
                <w:highlight w:val="none"/>
              </w:rPr>
            </w:pPr>
          </w:p>
          <w:p w14:paraId="4D488ED6">
            <w:pPr>
              <w:widowControl/>
              <w:shd w:val="clea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1、2026届全国普通高校毕业生或非2026届全国普通高校毕业生且具有相关专业工作经验的人员</w:t>
            </w:r>
          </w:p>
          <w:p w14:paraId="71FEFAC1">
            <w:pPr>
              <w:widowControl/>
              <w:shd w:val="clear"/>
              <w:spacing w:line="300" w:lineRule="exact"/>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2、年龄一般应在18周岁以上、30周岁及以下（1995年8月至2008年8月期间出生）</w:t>
            </w:r>
          </w:p>
          <w:p w14:paraId="04A82801">
            <w:pPr>
              <w:widowControl/>
              <w:shd w:val="clear"/>
              <w:spacing w:line="300" w:lineRule="exact"/>
              <w:jc w:val="left"/>
              <w:rPr>
                <w:rFonts w:ascii="宋体" w:hAnsi="宋体" w:cs="宋体"/>
                <w:color w:val="auto"/>
                <w:kern w:val="0"/>
                <w:szCs w:val="21"/>
                <w:highlight w:val="none"/>
              </w:rPr>
            </w:pPr>
          </w:p>
        </w:tc>
        <w:tc>
          <w:tcPr>
            <w:tcW w:w="2601" w:type="dxa"/>
            <w:vMerge w:val="restart"/>
            <w:tcBorders>
              <w:top w:val="single" w:color="auto" w:sz="4" w:space="0"/>
              <w:left w:val="single" w:color="auto" w:sz="4" w:space="0"/>
              <w:right w:val="single" w:color="auto" w:sz="4" w:space="0"/>
            </w:tcBorders>
            <w:vAlign w:val="center"/>
          </w:tcPr>
          <w:p w14:paraId="5A4F5CF1">
            <w:pPr>
              <w:widowControl/>
              <w:shd w:val="clear"/>
              <w:spacing w:line="300" w:lineRule="exact"/>
              <w:jc w:val="left"/>
              <w:rPr>
                <w:rFonts w:ascii="宋体" w:hAnsi="宋体" w:eastAsia="宋体" w:cs="宋体"/>
                <w:color w:val="auto"/>
                <w:sz w:val="20"/>
                <w:szCs w:val="20"/>
              </w:rPr>
            </w:pPr>
            <w:r>
              <w:rPr>
                <w:rFonts w:hint="eastAsia" w:ascii="宋体" w:hAnsi="宋体" w:eastAsia="宋体" w:cs="宋体"/>
                <w:color w:val="auto"/>
                <w:sz w:val="20"/>
                <w:szCs w:val="20"/>
              </w:rPr>
              <w:t>入职后需要适应长期倒班工作</w:t>
            </w:r>
          </w:p>
          <w:p w14:paraId="32E68666">
            <w:pPr>
              <w:widowControl/>
              <w:shd w:val="clear"/>
              <w:spacing w:line="300" w:lineRule="exact"/>
              <w:jc w:val="left"/>
              <w:rPr>
                <w:rFonts w:ascii="宋体" w:hAnsi="宋体" w:eastAsia="宋体" w:cs="宋体"/>
                <w:color w:val="auto"/>
                <w:kern w:val="0"/>
                <w:sz w:val="20"/>
                <w:szCs w:val="20"/>
              </w:rPr>
            </w:pPr>
          </w:p>
        </w:tc>
      </w:tr>
      <w:tr w14:paraId="5895A3FB">
        <w:tblPrEx>
          <w:tblCellMar>
            <w:top w:w="0" w:type="dxa"/>
            <w:left w:w="108" w:type="dxa"/>
            <w:bottom w:w="0" w:type="dxa"/>
            <w:right w:w="108" w:type="dxa"/>
          </w:tblCellMar>
        </w:tblPrEx>
        <w:trPr>
          <w:trHeight w:val="930" w:hRule="atLeast"/>
          <w:jc w:val="center"/>
        </w:trPr>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14:paraId="580526C8">
            <w:pPr>
              <w:widowControl/>
              <w:shd w:val="clear"/>
              <w:spacing w:line="30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70B7523">
            <w:pPr>
              <w:widowControl/>
              <w:shd w:val="clear"/>
              <w:spacing w:line="300" w:lineRule="exact"/>
              <w:jc w:val="center"/>
              <w:rPr>
                <w:rFonts w:ascii="宋体" w:hAnsi="宋体" w:eastAsia="宋体" w:cs="宋体"/>
                <w:color w:val="auto"/>
                <w:kern w:val="0"/>
                <w:szCs w:val="21"/>
              </w:rPr>
            </w:pPr>
            <w:r>
              <w:rPr>
                <w:rFonts w:hint="eastAsia" w:ascii="宋体" w:hAnsi="宋体" w:eastAsia="宋体" w:cs="宋体"/>
                <w:color w:val="auto"/>
                <w:kern w:val="0"/>
                <w:szCs w:val="21"/>
              </w:rPr>
              <w:t>生产车间</w:t>
            </w:r>
          </w:p>
          <w:p w14:paraId="0E88862B">
            <w:pPr>
              <w:widowControl/>
              <w:shd w:val="clear"/>
              <w:spacing w:line="300" w:lineRule="exact"/>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技术工人</w:t>
            </w:r>
            <w:r>
              <w:rPr>
                <w:rFonts w:hint="eastAsia" w:ascii="宋体" w:hAnsi="宋体" w:eastAsia="宋体" w:cs="宋体"/>
                <w:color w:val="auto"/>
                <w:kern w:val="0"/>
                <w:szCs w:val="21"/>
                <w:lang w:val="en-US" w:eastAsia="zh-CN"/>
              </w:rPr>
              <w:t>二</w:t>
            </w:r>
          </w:p>
        </w:tc>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14:paraId="5E8CF228">
            <w:pPr>
              <w:widowControl/>
              <w:shd w:val="clear"/>
              <w:spacing w:line="300" w:lineRule="exact"/>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22D547C4">
            <w:pPr>
              <w:widowControl/>
              <w:shd w:val="clear"/>
              <w:spacing w:line="300" w:lineRule="exact"/>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本科</w:t>
            </w:r>
            <w:r>
              <w:rPr>
                <w:rFonts w:hint="eastAsia" w:ascii="宋体" w:hAnsi="宋体" w:eastAsia="宋体" w:cs="宋体"/>
                <w:color w:val="auto"/>
                <w:kern w:val="0"/>
                <w:szCs w:val="21"/>
              </w:rPr>
              <w:t>及以上</w:t>
            </w:r>
          </w:p>
        </w:tc>
        <w:tc>
          <w:tcPr>
            <w:tcW w:w="3300" w:type="dxa"/>
            <w:tcBorders>
              <w:top w:val="single" w:color="auto" w:sz="4" w:space="0"/>
              <w:left w:val="single" w:color="auto" w:sz="4" w:space="0"/>
              <w:bottom w:val="single" w:color="auto" w:sz="4" w:space="0"/>
              <w:right w:val="single" w:color="auto" w:sz="4" w:space="0"/>
            </w:tcBorders>
            <w:shd w:val="clear" w:color="auto" w:fill="auto"/>
            <w:vAlign w:val="center"/>
          </w:tcPr>
          <w:p w14:paraId="68CD91BF">
            <w:pPr>
              <w:widowControl/>
              <w:shd w:val="clear"/>
              <w:spacing w:line="3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化学类、高分子材料与工程、包装工程、印刷工程、轻化工程硕士</w:t>
            </w:r>
          </w:p>
        </w:tc>
        <w:tc>
          <w:tcPr>
            <w:tcW w:w="4440" w:type="dxa"/>
            <w:vMerge w:val="continue"/>
            <w:tcBorders>
              <w:left w:val="single" w:color="auto" w:sz="4" w:space="0"/>
              <w:right w:val="single" w:color="auto" w:sz="4" w:space="0"/>
            </w:tcBorders>
            <w:shd w:val="clear" w:color="auto" w:fill="auto"/>
            <w:vAlign w:val="center"/>
          </w:tcPr>
          <w:p w14:paraId="0C3F50DC">
            <w:pPr>
              <w:widowControl/>
              <w:shd w:val="clear"/>
              <w:spacing w:line="300" w:lineRule="exact"/>
              <w:jc w:val="left"/>
              <w:rPr>
                <w:rFonts w:ascii="宋体" w:hAnsi="宋体" w:cs="宋体"/>
                <w:color w:val="auto"/>
                <w:kern w:val="0"/>
                <w:szCs w:val="21"/>
                <w:highlight w:val="none"/>
              </w:rPr>
            </w:pPr>
          </w:p>
        </w:tc>
        <w:tc>
          <w:tcPr>
            <w:tcW w:w="2601" w:type="dxa"/>
            <w:vMerge w:val="continue"/>
            <w:tcBorders>
              <w:left w:val="single" w:color="auto" w:sz="4" w:space="0"/>
              <w:right w:val="single" w:color="auto" w:sz="4" w:space="0"/>
            </w:tcBorders>
            <w:vAlign w:val="center"/>
          </w:tcPr>
          <w:p w14:paraId="39CD3E48">
            <w:pPr>
              <w:widowControl/>
              <w:shd w:val="clear"/>
              <w:spacing w:line="300" w:lineRule="exact"/>
              <w:jc w:val="left"/>
              <w:rPr>
                <w:rFonts w:ascii="宋体" w:hAnsi="宋体" w:eastAsia="宋体" w:cs="宋体"/>
                <w:color w:val="auto"/>
                <w:kern w:val="0"/>
                <w:sz w:val="20"/>
                <w:szCs w:val="20"/>
              </w:rPr>
            </w:pPr>
          </w:p>
        </w:tc>
      </w:tr>
      <w:tr w14:paraId="4E461196">
        <w:tblPrEx>
          <w:tblCellMar>
            <w:top w:w="0" w:type="dxa"/>
            <w:left w:w="108" w:type="dxa"/>
            <w:bottom w:w="0" w:type="dxa"/>
            <w:right w:w="108" w:type="dxa"/>
          </w:tblCellMar>
        </w:tblPrEx>
        <w:trPr>
          <w:trHeight w:val="503" w:hRule="atLeast"/>
          <w:jc w:val="center"/>
        </w:trPr>
        <w:tc>
          <w:tcPr>
            <w:tcW w:w="1934" w:type="dxa"/>
            <w:gridSpan w:val="2"/>
            <w:tcBorders>
              <w:top w:val="single" w:color="auto" w:sz="4" w:space="0"/>
              <w:left w:val="single" w:color="auto" w:sz="4" w:space="0"/>
              <w:bottom w:val="single" w:color="auto" w:sz="4" w:space="0"/>
              <w:right w:val="single" w:color="auto" w:sz="4" w:space="0"/>
            </w:tcBorders>
            <w:vAlign w:val="center"/>
          </w:tcPr>
          <w:p w14:paraId="745C7D29">
            <w:pPr>
              <w:widowControl/>
              <w:shd w:val="clear"/>
              <w:spacing w:line="300" w:lineRule="exact"/>
              <w:jc w:val="center"/>
              <w:rPr>
                <w:rFonts w:ascii="宋体" w:hAnsi="宋体" w:eastAsia="宋体" w:cs="宋体"/>
                <w:color w:val="auto"/>
                <w:kern w:val="0"/>
                <w:szCs w:val="21"/>
              </w:rPr>
            </w:pPr>
            <w:r>
              <w:rPr>
                <w:rFonts w:hint="eastAsia" w:ascii="宋体" w:hAnsi="宋体" w:eastAsia="宋体" w:cs="宋体"/>
                <w:color w:val="auto"/>
                <w:kern w:val="0"/>
                <w:szCs w:val="21"/>
              </w:rPr>
              <w:t>合计</w:t>
            </w:r>
          </w:p>
        </w:tc>
        <w:tc>
          <w:tcPr>
            <w:tcW w:w="588" w:type="dxa"/>
            <w:tcBorders>
              <w:top w:val="single" w:color="auto" w:sz="4" w:space="0"/>
              <w:left w:val="single" w:color="auto" w:sz="4" w:space="0"/>
              <w:bottom w:val="single" w:color="auto" w:sz="4" w:space="0"/>
              <w:right w:val="single" w:color="auto" w:sz="4" w:space="0"/>
            </w:tcBorders>
            <w:vAlign w:val="center"/>
          </w:tcPr>
          <w:p w14:paraId="6FA460D5">
            <w:pPr>
              <w:widowControl/>
              <w:shd w:val="clear"/>
              <w:spacing w:line="300" w:lineRule="exact"/>
              <w:jc w:val="center"/>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6</w:t>
            </w:r>
          </w:p>
        </w:tc>
        <w:tc>
          <w:tcPr>
            <w:tcW w:w="90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44E9834">
            <w:pPr>
              <w:widowControl/>
              <w:shd w:val="clear"/>
              <w:spacing w:line="300" w:lineRule="exact"/>
              <w:jc w:val="center"/>
              <w:rPr>
                <w:rFonts w:ascii="宋体" w:hAnsi="宋体" w:eastAsia="宋体" w:cs="宋体"/>
                <w:color w:val="auto"/>
                <w:kern w:val="0"/>
                <w:szCs w:val="21"/>
              </w:rPr>
            </w:pPr>
            <w:r>
              <w:rPr>
                <w:rFonts w:hint="eastAsia" w:ascii="宋体" w:hAnsi="宋体" w:eastAsia="宋体" w:cs="宋体"/>
                <w:color w:val="auto"/>
                <w:kern w:val="0"/>
                <w:szCs w:val="21"/>
              </w:rPr>
              <w:t>/</w:t>
            </w:r>
          </w:p>
        </w:tc>
        <w:tc>
          <w:tcPr>
            <w:tcW w:w="2601" w:type="dxa"/>
            <w:tcBorders>
              <w:top w:val="single" w:color="auto" w:sz="4" w:space="0"/>
              <w:left w:val="single" w:color="auto" w:sz="4" w:space="0"/>
              <w:bottom w:val="single" w:color="auto" w:sz="4" w:space="0"/>
              <w:right w:val="single" w:color="auto" w:sz="4" w:space="0"/>
            </w:tcBorders>
            <w:vAlign w:val="center"/>
          </w:tcPr>
          <w:p w14:paraId="454587E6">
            <w:pPr>
              <w:widowControl/>
              <w:shd w:val="clear"/>
              <w:spacing w:line="300" w:lineRule="exact"/>
              <w:jc w:val="center"/>
              <w:rPr>
                <w:rFonts w:ascii="宋体" w:hAnsi="宋体" w:eastAsia="宋体" w:cs="宋体"/>
                <w:color w:val="auto"/>
                <w:kern w:val="0"/>
                <w:szCs w:val="21"/>
              </w:rPr>
            </w:pPr>
          </w:p>
        </w:tc>
      </w:tr>
      <w:tr w14:paraId="2A6C4110">
        <w:tblPrEx>
          <w:tblCellMar>
            <w:top w:w="0" w:type="dxa"/>
            <w:left w:w="108" w:type="dxa"/>
            <w:bottom w:w="0" w:type="dxa"/>
            <w:right w:w="108" w:type="dxa"/>
          </w:tblCellMar>
        </w:tblPrEx>
        <w:trPr>
          <w:trHeight w:val="895" w:hRule="atLeast"/>
          <w:jc w:val="center"/>
        </w:trPr>
        <w:tc>
          <w:tcPr>
            <w:tcW w:w="14172" w:type="dxa"/>
            <w:gridSpan w:val="7"/>
            <w:tcBorders>
              <w:top w:val="single" w:color="auto" w:sz="4" w:space="0"/>
              <w:left w:val="single" w:color="auto" w:sz="4" w:space="0"/>
              <w:bottom w:val="single" w:color="auto" w:sz="4" w:space="0"/>
              <w:right w:val="single" w:color="auto" w:sz="4" w:space="0"/>
            </w:tcBorders>
            <w:vAlign w:val="center"/>
          </w:tcPr>
          <w:p w14:paraId="1CB1EA3F">
            <w:pPr>
              <w:pStyle w:val="2"/>
              <w:shd w:val="clear"/>
              <w:ind w:firstLine="0" w:firstLineChars="0"/>
              <w:rPr>
                <w:rFonts w:hint="eastAsia"/>
                <w:color w:val="auto"/>
                <w:sz w:val="16"/>
                <w:szCs w:val="20"/>
                <w:highlight w:val="none"/>
                <w:lang w:val="en-US" w:eastAsia="zh-CN"/>
              </w:rPr>
            </w:pPr>
            <w:r>
              <w:rPr>
                <w:rFonts w:hint="eastAsia"/>
                <w:color w:val="auto"/>
                <w:sz w:val="16"/>
                <w:szCs w:val="20"/>
                <w:highlight w:val="none"/>
                <w:lang w:val="en-US" w:eastAsia="zh-CN"/>
              </w:rPr>
              <w:t>1</w:t>
            </w:r>
            <w:r>
              <w:rPr>
                <w:rFonts w:hint="eastAsia"/>
                <w:color w:val="auto"/>
                <w:sz w:val="16"/>
                <w:szCs w:val="20"/>
                <w:highlight w:val="none"/>
                <w:shd w:val="clear"/>
              </w:rPr>
              <w:t>.</w:t>
            </w:r>
            <w:r>
              <w:rPr>
                <w:rFonts w:hint="eastAsia"/>
                <w:color w:val="auto"/>
                <w:sz w:val="16"/>
                <w:szCs w:val="20"/>
                <w:highlight w:val="none"/>
                <w:shd w:val="clear" w:color="auto"/>
                <w:lang w:val="en-US" w:eastAsia="zh-CN"/>
              </w:rPr>
              <w:t>相关专业</w:t>
            </w:r>
            <w:r>
              <w:rPr>
                <w:rFonts w:hint="eastAsia"/>
                <w:color w:val="auto"/>
                <w:sz w:val="16"/>
                <w:szCs w:val="20"/>
                <w:highlight w:val="none"/>
              </w:rPr>
              <w:t>工作经验经验需提供相应佐证资料，如劳动合同、终止解除劳动合同证明书</w:t>
            </w:r>
            <w:r>
              <w:rPr>
                <w:rFonts w:hint="eastAsia"/>
                <w:color w:val="auto"/>
                <w:sz w:val="16"/>
                <w:szCs w:val="20"/>
                <w:highlight w:val="none"/>
                <w:shd w:val="clear"/>
                <w:lang w:eastAsia="zh-CN"/>
              </w:rPr>
              <w:t>、</w:t>
            </w:r>
            <w:r>
              <w:rPr>
                <w:rFonts w:hint="eastAsia"/>
                <w:color w:val="auto"/>
                <w:sz w:val="16"/>
                <w:szCs w:val="20"/>
                <w:highlight w:val="none"/>
                <w:shd w:val="clear"/>
                <w:lang w:val="en-US" w:eastAsia="zh-CN"/>
              </w:rPr>
              <w:t>社保证明</w:t>
            </w:r>
            <w:r>
              <w:rPr>
                <w:rFonts w:hint="eastAsia"/>
                <w:color w:val="auto"/>
                <w:sz w:val="16"/>
                <w:szCs w:val="20"/>
                <w:highlight w:val="none"/>
              </w:rPr>
              <w:t>等相应佐证材料</w:t>
            </w:r>
            <w:r>
              <w:rPr>
                <w:rFonts w:hint="eastAsia"/>
                <w:color w:val="auto"/>
                <w:sz w:val="16"/>
                <w:szCs w:val="20"/>
                <w:highlight w:val="none"/>
                <w:lang w:eastAsia="zh-CN"/>
              </w:rPr>
              <w:t>，</w:t>
            </w:r>
            <w:r>
              <w:rPr>
                <w:rFonts w:hint="eastAsia"/>
                <w:color w:val="auto"/>
                <w:sz w:val="16"/>
                <w:szCs w:val="20"/>
                <w:highlight w:val="none"/>
                <w:lang w:val="en-US" w:eastAsia="zh-CN"/>
              </w:rPr>
              <w:t>所提供资料需证明相关专业工作经验年限</w:t>
            </w:r>
            <w:r>
              <w:rPr>
                <w:rFonts w:hint="eastAsia"/>
                <w:color w:val="auto"/>
                <w:sz w:val="16"/>
                <w:szCs w:val="20"/>
                <w:highlight w:val="none"/>
              </w:rPr>
              <w:t>。</w:t>
            </w:r>
          </w:p>
          <w:p w14:paraId="018CE688">
            <w:pPr>
              <w:pStyle w:val="2"/>
              <w:shd w:val="clear"/>
              <w:ind w:firstLine="0" w:firstLineChars="0"/>
              <w:rPr>
                <w:color w:val="auto"/>
                <w:sz w:val="16"/>
                <w:szCs w:val="20"/>
                <w:highlight w:val="none"/>
              </w:rPr>
            </w:pPr>
            <w:r>
              <w:rPr>
                <w:rFonts w:hint="eastAsia"/>
                <w:color w:val="auto"/>
                <w:sz w:val="16"/>
                <w:szCs w:val="20"/>
                <w:highlight w:val="none"/>
                <w:lang w:val="en-US" w:eastAsia="zh-CN"/>
              </w:rPr>
              <w:t>2</w:t>
            </w:r>
            <w:r>
              <w:rPr>
                <w:rFonts w:hint="eastAsia"/>
                <w:color w:val="auto"/>
                <w:sz w:val="16"/>
                <w:szCs w:val="20"/>
                <w:highlight w:val="none"/>
              </w:rPr>
              <w:t>.具体专业参</w:t>
            </w:r>
            <w:r>
              <w:rPr>
                <w:rFonts w:hint="eastAsia"/>
                <w:color w:val="auto"/>
                <w:sz w:val="16"/>
                <w:szCs w:val="20"/>
                <w:highlight w:val="none"/>
                <w:shd w:val="clear"/>
              </w:rPr>
              <w:t>考</w:t>
            </w:r>
            <w:r>
              <w:rPr>
                <w:rFonts w:hint="eastAsia"/>
                <w:color w:val="auto"/>
                <w:sz w:val="16"/>
                <w:szCs w:val="20"/>
                <w:highlight w:val="none"/>
                <w:shd w:val="clear"/>
                <w:lang w:eastAsia="zh-CN"/>
              </w:rPr>
              <w:t>2026</w:t>
            </w:r>
            <w:r>
              <w:rPr>
                <w:rFonts w:hint="eastAsia"/>
                <w:color w:val="auto"/>
                <w:sz w:val="16"/>
                <w:szCs w:val="20"/>
                <w:highlight w:val="none"/>
              </w:rPr>
              <w:t>年湖南省考试录用公务员专业指导目录，由于各类院校专业名称设置不统一、每年新设专业较多，存在部分专业未列入上述专业指导目录的情形，所学专业未列入上述专业指导目录的考生是否可以报考相近专业的职位，具体由常德金鹏印务有限公司资格审核组根据考生所学课程进行认定。</w:t>
            </w:r>
          </w:p>
          <w:p w14:paraId="04D880DF">
            <w:pPr>
              <w:pStyle w:val="2"/>
              <w:shd w:val="clear"/>
              <w:ind w:firstLine="0" w:firstLineChars="0"/>
              <w:rPr>
                <w:rFonts w:hint="default" w:eastAsiaTheme="minorEastAsia"/>
                <w:color w:val="auto"/>
                <w:sz w:val="16"/>
                <w:szCs w:val="20"/>
                <w:highlight w:val="none"/>
                <w:shd w:val="clear"/>
                <w:lang w:val="en-US" w:eastAsia="zh-CN"/>
              </w:rPr>
            </w:pPr>
            <w:r>
              <w:rPr>
                <w:rFonts w:hint="eastAsia"/>
                <w:color w:val="auto"/>
                <w:sz w:val="16"/>
                <w:szCs w:val="20"/>
                <w:highlight w:val="none"/>
                <w:shd w:val="clear"/>
                <w:lang w:val="en-US" w:eastAsia="zh-CN"/>
              </w:rPr>
              <w:t>3.</w:t>
            </w:r>
            <w:r>
              <w:rPr>
                <w:rFonts w:hint="eastAsia"/>
                <w:color w:val="auto"/>
                <w:sz w:val="16"/>
                <w:szCs w:val="20"/>
                <w:highlight w:val="none"/>
                <w:shd w:val="clear"/>
              </w:rPr>
              <w:t>2026届全国普通高校本科及以上应届毕业生，以及非2026届毕业但具有相关专业工作经验的往届毕业生</w:t>
            </w:r>
            <w:r>
              <w:rPr>
                <w:rFonts w:hint="eastAsia"/>
                <w:color w:val="auto"/>
                <w:sz w:val="16"/>
                <w:szCs w:val="20"/>
                <w:highlight w:val="none"/>
                <w:shd w:val="clear"/>
                <w:lang w:eastAsia="zh-CN"/>
              </w:rPr>
              <w:t>，</w:t>
            </w:r>
            <w:r>
              <w:rPr>
                <w:rFonts w:hint="eastAsia"/>
                <w:color w:val="auto"/>
                <w:sz w:val="16"/>
                <w:szCs w:val="20"/>
                <w:highlight w:val="none"/>
                <w:shd w:val="clear"/>
              </w:rPr>
              <w:t>须于2026年7月31日前取得相应学历学位证书；同时，留学回国人员须于2026年7月31日前取得国（境）外学历（学位），并于2026年9月30日前完成教育部门学历认证。</w:t>
            </w:r>
          </w:p>
        </w:tc>
      </w:tr>
    </w:tbl>
    <w:p w14:paraId="51589B0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878EE"/>
    <w:rsid w:val="4DF878EE"/>
    <w:rsid w:val="766D3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602</Words>
  <Characters>644</Characters>
  <Lines>0</Lines>
  <Paragraphs>0</Paragraphs>
  <TotalTime>0</TotalTime>
  <ScaleCrop>false</ScaleCrop>
  <LinksUpToDate>false</LinksUpToDate>
  <CharactersWithSpaces>644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2026-08-14T02:40:00Z</dcterms:created>
  <dc:creator>花花</dc:creator>
  <cp:lastModifiedBy>振东</cp:lastModifiedBy>
  <dcterms:modified xsi:type="dcterms:W3CDTF">2026-08-20T03:46:58Z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EDB0B9F6CFF349E4800965A558F5457B_11</vt:lpwstr>
  </property>
  <property fmtid="{D5CDD505-2E9C-101B-9397-08002B2CF9AE}" pid="4" name="KSOTemplateDocerSaveRecord">
    <vt:lpwstr>eyJoZGlkIjoiMDdlNmEzM2EyZTNiODIwOWY3ZDk1YWY4OWQ1M2UzZWYiLCJ1c2VySWQiOiI1NTk3MDE2NzcifQ==</vt:lpwstr>
  </property>
</Properties>
</file>