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CD2CD57">
      <w:pPr>
        <w:pStyle w:val="style0"/>
        <w:tabs>
          <w:tab w:val="left" w:leader="none" w:pos="2645"/>
        </w:tabs>
        <w:wordWrap w:val="fals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14:paraId="7E2AC67A">
      <w:pPr>
        <w:pStyle w:val="style0"/>
        <w:tabs>
          <w:tab w:val="left" w:leader="none" w:pos="2645"/>
        </w:tabs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葫芦岛市</w:t>
      </w:r>
      <w:r>
        <w:rPr>
          <w:rFonts w:ascii="黑体" w:eastAsia="黑体" w:hAnsi="黑体" w:hint="eastAsia"/>
          <w:sz w:val="32"/>
          <w:szCs w:val="32"/>
          <w:lang w:eastAsia="zh-CN"/>
        </w:rPr>
        <w:t>龙港</w:t>
      </w:r>
      <w:r>
        <w:rPr>
          <w:rFonts w:ascii="黑体" w:eastAsia="黑体" w:hAnsi="黑体" w:hint="eastAsia"/>
          <w:sz w:val="32"/>
          <w:szCs w:val="32"/>
        </w:rPr>
        <w:t>区总工会面向社会公开招聘工会社会工作者职位表</w:t>
      </w:r>
    </w:p>
    <w:p w14:paraId="56028F63">
      <w:pPr>
        <w:pStyle w:val="style0"/>
        <w:tabs>
          <w:tab w:val="left" w:leader="none" w:pos="2645"/>
        </w:tabs>
        <w:jc w:val="center"/>
        <w:rPr>
          <w:rFonts w:ascii="黑体" w:eastAsia="黑体" w:hAnsi="黑体" w:hint="eastAsia"/>
          <w:sz w:val="32"/>
          <w:szCs w:val="32"/>
        </w:rPr>
      </w:pPr>
    </w:p>
    <w:tbl>
      <w:tblPr>
        <w:tblStyle w:val="style15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960"/>
        <w:gridCol w:w="814"/>
        <w:gridCol w:w="2053"/>
        <w:gridCol w:w="1280"/>
        <w:gridCol w:w="1293"/>
        <w:gridCol w:w="880"/>
        <w:gridCol w:w="1387"/>
        <w:gridCol w:w="2013"/>
        <w:gridCol w:w="1227"/>
        <w:gridCol w:w="1320"/>
      </w:tblGrid>
      <w:tr w14:paraId="0A667324">
        <w:trPr/>
        <w:tc>
          <w:tcPr>
            <w:tcW w:w="807" w:type="dxa"/>
            <w:tcBorders/>
            <w:vAlign w:val="center"/>
          </w:tcPr>
          <w:p w14:paraId="4D3832F4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60" w:type="dxa"/>
            <w:tcBorders/>
            <w:vAlign w:val="center"/>
          </w:tcPr>
          <w:p w14:paraId="7D6ABE99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招聘</w:t>
            </w:r>
          </w:p>
          <w:p w14:paraId="12D2AB92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814" w:type="dxa"/>
            <w:tcBorders/>
            <w:vAlign w:val="center"/>
          </w:tcPr>
          <w:p w14:paraId="2F369463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</w:t>
            </w:r>
          </w:p>
          <w:p w14:paraId="508B8915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编码</w:t>
            </w:r>
          </w:p>
        </w:tc>
        <w:tc>
          <w:tcPr>
            <w:tcW w:w="2053" w:type="dxa"/>
            <w:tcBorders/>
            <w:vAlign w:val="center"/>
          </w:tcPr>
          <w:p w14:paraId="4186E381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单位名称及岗位</w:t>
            </w:r>
          </w:p>
        </w:tc>
        <w:tc>
          <w:tcPr>
            <w:tcW w:w="1280" w:type="dxa"/>
            <w:tcBorders/>
            <w:vAlign w:val="center"/>
          </w:tcPr>
          <w:p w14:paraId="642A61FC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招聘计划（人）</w:t>
            </w:r>
          </w:p>
        </w:tc>
        <w:tc>
          <w:tcPr>
            <w:tcW w:w="1293" w:type="dxa"/>
            <w:tcBorders/>
            <w:vAlign w:val="center"/>
          </w:tcPr>
          <w:p w14:paraId="2CB232C4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</w:p>
        </w:tc>
        <w:tc>
          <w:tcPr>
            <w:tcW w:w="880" w:type="dxa"/>
            <w:tcBorders/>
            <w:vAlign w:val="center"/>
          </w:tcPr>
          <w:p w14:paraId="10A5E61F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387" w:type="dxa"/>
            <w:tcBorders/>
            <w:vAlign w:val="center"/>
          </w:tcPr>
          <w:p w14:paraId="3F892129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013" w:type="dxa"/>
            <w:tcBorders/>
            <w:vAlign w:val="center"/>
          </w:tcPr>
          <w:p w14:paraId="09395649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招聘方式</w:t>
            </w:r>
          </w:p>
        </w:tc>
        <w:tc>
          <w:tcPr>
            <w:tcW w:w="1227" w:type="dxa"/>
            <w:tcBorders/>
            <w:vAlign w:val="center"/>
          </w:tcPr>
          <w:p w14:paraId="44E2C0E1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开考比例</w:t>
            </w:r>
          </w:p>
        </w:tc>
        <w:tc>
          <w:tcPr>
            <w:tcW w:w="1320" w:type="dxa"/>
            <w:tcBorders/>
            <w:vAlign w:val="center"/>
          </w:tcPr>
          <w:p w14:paraId="28E3C5D9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14:paraId="2D5DF8A1">
        <w:tblPrEx/>
        <w:trPr>
          <w:trHeight w:val="1204" w:hRule="atLeast"/>
        </w:trPr>
        <w:tc>
          <w:tcPr>
            <w:tcW w:w="807" w:type="dxa"/>
            <w:tcBorders/>
            <w:vAlign w:val="center"/>
          </w:tcPr>
          <w:p w14:paraId="1A9774EA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960" w:type="dxa"/>
            <w:vMerge w:val="restart"/>
            <w:tcBorders/>
            <w:vAlign w:val="center"/>
          </w:tcPr>
          <w:p w14:paraId="749F51DC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龙</w:t>
            </w:r>
          </w:p>
          <w:p w14:paraId="1EA8606A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港</w:t>
            </w:r>
          </w:p>
          <w:p w14:paraId="06EA9D1A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区</w:t>
            </w:r>
          </w:p>
          <w:p w14:paraId="21F32D11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总</w:t>
            </w:r>
          </w:p>
          <w:p w14:paraId="576488D8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工</w:t>
            </w:r>
          </w:p>
          <w:p w14:paraId="144EC41E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会</w:t>
            </w:r>
          </w:p>
        </w:tc>
        <w:tc>
          <w:tcPr>
            <w:tcW w:w="814" w:type="dxa"/>
            <w:tcBorders/>
            <w:vAlign w:val="center"/>
          </w:tcPr>
          <w:p w14:paraId="6B917578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001</w:t>
            </w:r>
          </w:p>
        </w:tc>
        <w:tc>
          <w:tcPr>
            <w:tcW w:w="2053" w:type="dxa"/>
            <w:tcBorders/>
            <w:vAlign w:val="center"/>
          </w:tcPr>
          <w:p w14:paraId="2AEF6814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val="en-US"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龙港区</w:t>
            </w:r>
            <w:r>
              <w:rPr>
                <w:rFonts w:ascii="仿宋_GB2312" w:eastAsia="仿宋_GB2312" w:hint="eastAsia"/>
              </w:rPr>
              <w:t>新就业形态工会</w:t>
            </w:r>
            <w:r>
              <w:rPr>
                <w:rFonts w:ascii="仿宋_GB2312" w:eastAsia="仿宋_GB2312" w:hint="eastAsia"/>
                <w:lang w:eastAsia="zh-CN"/>
              </w:rPr>
              <w:t>综合</w:t>
            </w:r>
            <w:r>
              <w:rPr>
                <w:rFonts w:ascii="仿宋_GB2312" w:eastAsia="仿宋_GB2312" w:hint="eastAsia"/>
              </w:rPr>
              <w:t>岗</w:t>
            </w:r>
            <w:r>
              <w:rPr>
                <w:rFonts w:ascii="仿宋_GB2312" w:eastAsia="仿宋_GB2312" w:hint="eastAsia"/>
                <w:lang w:val="en-US" w:eastAsia="zh-CN"/>
              </w:rPr>
              <w:t>1</w:t>
            </w:r>
          </w:p>
        </w:tc>
        <w:tc>
          <w:tcPr>
            <w:tcW w:w="1280" w:type="dxa"/>
            <w:tcBorders/>
            <w:vAlign w:val="center"/>
          </w:tcPr>
          <w:p w14:paraId="21E343D4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lang w:val="en-US" w:eastAsia="zh-CN"/>
              </w:rPr>
              <w:t>1</w:t>
            </w:r>
          </w:p>
        </w:tc>
        <w:tc>
          <w:tcPr>
            <w:tcW w:w="1293" w:type="dxa"/>
            <w:tcBorders/>
            <w:vAlign w:val="center"/>
          </w:tcPr>
          <w:p w14:paraId="27AA28BA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专科及以上</w:t>
            </w:r>
          </w:p>
        </w:tc>
        <w:tc>
          <w:tcPr>
            <w:tcW w:w="880" w:type="dxa"/>
            <w:tcBorders/>
            <w:vAlign w:val="center"/>
          </w:tcPr>
          <w:p w14:paraId="7813EF4C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不限</w:t>
            </w:r>
          </w:p>
        </w:tc>
        <w:tc>
          <w:tcPr>
            <w:tcW w:w="1387" w:type="dxa"/>
            <w:tcBorders/>
            <w:vAlign w:val="center"/>
          </w:tcPr>
          <w:p w14:paraId="3D9C31E7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45周岁以下</w:t>
            </w:r>
          </w:p>
        </w:tc>
        <w:tc>
          <w:tcPr>
            <w:tcW w:w="2013" w:type="dxa"/>
            <w:tcBorders/>
            <w:vAlign w:val="center"/>
          </w:tcPr>
          <w:p w14:paraId="52DD1F82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考试（笔试和面试）考核</w:t>
            </w:r>
          </w:p>
        </w:tc>
        <w:tc>
          <w:tcPr>
            <w:tcW w:w="1227" w:type="dxa"/>
            <w:tcBorders/>
            <w:vAlign w:val="center"/>
          </w:tcPr>
          <w:p w14:paraId="05C23A5E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</w:rPr>
              <w:t>1:</w:t>
            </w:r>
            <w:r>
              <w:rPr>
                <w:rFonts w:ascii="仿宋_GB2312" w:eastAsia="仿宋_GB2312" w:hint="eastAsia"/>
                <w:lang w:val="en-US" w:eastAsia="zh-CN"/>
              </w:rPr>
              <w:t>3</w:t>
            </w:r>
          </w:p>
        </w:tc>
        <w:tc>
          <w:tcPr>
            <w:tcW w:w="1320" w:type="dxa"/>
            <w:tcBorders/>
            <w:vAlign w:val="center"/>
          </w:tcPr>
          <w:p w14:paraId="24ABDD3E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</w:p>
        </w:tc>
      </w:tr>
      <w:tr w14:paraId="768A8517">
        <w:tblPrEx/>
        <w:trPr>
          <w:trHeight w:val="1103" w:hRule="atLeast"/>
        </w:trPr>
        <w:tc>
          <w:tcPr>
            <w:tcW w:w="807" w:type="dxa"/>
            <w:tcBorders/>
            <w:vAlign w:val="center"/>
          </w:tcPr>
          <w:p w14:paraId="218C6C35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lang w:val="en-US" w:eastAsia="zh-CN"/>
              </w:rPr>
              <w:t>2</w:t>
            </w:r>
          </w:p>
        </w:tc>
        <w:tc>
          <w:tcPr>
            <w:tcW w:w="960" w:type="dxa"/>
            <w:vMerge w:val="continue"/>
            <w:tcBorders/>
            <w:vAlign w:val="center"/>
          </w:tcPr>
          <w:p w14:paraId="74D6E30B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814" w:type="dxa"/>
            <w:tcBorders/>
            <w:vAlign w:val="center"/>
          </w:tcPr>
          <w:p w14:paraId="256B077F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</w:rPr>
              <w:t>00</w:t>
            </w:r>
            <w:r>
              <w:rPr>
                <w:rFonts w:ascii="仿宋_GB2312" w:eastAsia="仿宋_GB2312" w:hint="eastAsia"/>
                <w:lang w:val="en-US" w:eastAsia="zh-CN"/>
              </w:rPr>
              <w:t>2</w:t>
            </w:r>
          </w:p>
        </w:tc>
        <w:tc>
          <w:tcPr>
            <w:tcW w:w="2053" w:type="dxa"/>
            <w:tcBorders/>
            <w:vAlign w:val="center"/>
          </w:tcPr>
          <w:p w14:paraId="090FE2E6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龙港区</w:t>
            </w:r>
            <w:r>
              <w:rPr>
                <w:rFonts w:ascii="仿宋_GB2312" w:eastAsia="仿宋_GB2312" w:hint="eastAsia"/>
              </w:rPr>
              <w:t>新就业形态工会</w:t>
            </w:r>
            <w:r>
              <w:rPr>
                <w:rFonts w:ascii="仿宋_GB2312" w:eastAsia="仿宋_GB2312" w:hint="eastAsia"/>
                <w:lang w:eastAsia="zh-CN"/>
              </w:rPr>
              <w:t>综合</w:t>
            </w:r>
            <w:r>
              <w:rPr>
                <w:rFonts w:ascii="仿宋_GB2312" w:eastAsia="仿宋_GB2312" w:hint="eastAsia"/>
              </w:rPr>
              <w:t>岗</w:t>
            </w:r>
            <w:r>
              <w:rPr>
                <w:rFonts w:ascii="仿宋_GB2312" w:eastAsia="仿宋_GB2312" w:hint="eastAsia"/>
                <w:lang w:val="en-US" w:eastAsia="zh-CN"/>
              </w:rPr>
              <w:t>2</w:t>
            </w:r>
          </w:p>
        </w:tc>
        <w:tc>
          <w:tcPr>
            <w:tcW w:w="1280" w:type="dxa"/>
            <w:tcBorders/>
            <w:vAlign w:val="center"/>
          </w:tcPr>
          <w:p w14:paraId="155ED785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  <w:lang w:val="en-US" w:eastAsia="zh-CN"/>
              </w:rPr>
              <w:t>1</w:t>
            </w:r>
          </w:p>
        </w:tc>
        <w:tc>
          <w:tcPr>
            <w:tcW w:w="1293" w:type="dxa"/>
            <w:tcBorders/>
            <w:vAlign w:val="center"/>
          </w:tcPr>
          <w:p w14:paraId="7D84A093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专科及以上</w:t>
            </w:r>
          </w:p>
        </w:tc>
        <w:tc>
          <w:tcPr>
            <w:tcW w:w="880" w:type="dxa"/>
            <w:tcBorders/>
            <w:vAlign w:val="center"/>
          </w:tcPr>
          <w:p w14:paraId="38DABADB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不限</w:t>
            </w:r>
          </w:p>
        </w:tc>
        <w:tc>
          <w:tcPr>
            <w:tcW w:w="1387" w:type="dxa"/>
            <w:tcBorders/>
            <w:vAlign w:val="center"/>
          </w:tcPr>
          <w:p w14:paraId="64AAB0E9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45周岁以下</w:t>
            </w:r>
          </w:p>
        </w:tc>
        <w:tc>
          <w:tcPr>
            <w:tcW w:w="2013" w:type="dxa"/>
            <w:tcBorders/>
            <w:vAlign w:val="center"/>
          </w:tcPr>
          <w:p w14:paraId="62338B17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考试（笔试和面试）考核</w:t>
            </w:r>
          </w:p>
        </w:tc>
        <w:tc>
          <w:tcPr>
            <w:tcW w:w="1227" w:type="dxa"/>
            <w:tcBorders/>
            <w:vAlign w:val="center"/>
          </w:tcPr>
          <w:p w14:paraId="16EA11FD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1:</w:t>
            </w:r>
            <w:r>
              <w:rPr>
                <w:rFonts w:ascii="仿宋_GB2312" w:eastAsia="仿宋_GB2312" w:hint="eastAsia"/>
                <w:lang w:val="en-US" w:eastAsia="zh-CN"/>
              </w:rPr>
              <w:t>3</w:t>
            </w:r>
          </w:p>
        </w:tc>
        <w:tc>
          <w:tcPr>
            <w:tcW w:w="1320" w:type="dxa"/>
            <w:tcBorders/>
            <w:vAlign w:val="center"/>
          </w:tcPr>
          <w:p w14:paraId="5313EE5F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</w:p>
        </w:tc>
      </w:tr>
      <w:tr w14:paraId="58BFA471">
        <w:tblPrEx/>
        <w:trPr>
          <w:trHeight w:val="1103" w:hRule="atLeast"/>
        </w:trPr>
        <w:tc>
          <w:tcPr>
            <w:tcW w:w="807" w:type="dxa"/>
            <w:tcBorders/>
            <w:vAlign w:val="center"/>
          </w:tcPr>
          <w:p w14:paraId="65D39059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default"/>
                <w:lang w:val="en-US" w:eastAsia="zh-CN"/>
              </w:rPr>
            </w:pPr>
            <w:r>
              <w:rPr>
                <w:rFonts w:ascii="仿宋_GB2312" w:eastAsia="仿宋_GB2312" w:hint="eastAsia"/>
                <w:lang w:val="en-US" w:eastAsia="zh-CN"/>
              </w:rPr>
              <w:t>3</w:t>
            </w:r>
          </w:p>
        </w:tc>
        <w:tc>
          <w:tcPr>
            <w:tcW w:w="960" w:type="dxa"/>
            <w:vMerge w:val="continue"/>
            <w:tcBorders/>
            <w:vAlign w:val="center"/>
          </w:tcPr>
          <w:p w14:paraId="30E3C6BC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814" w:type="dxa"/>
            <w:tcBorders/>
            <w:vAlign w:val="center"/>
          </w:tcPr>
          <w:p w14:paraId="2C30BADD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default"/>
                <w:lang w:val="en-US" w:eastAsia="zh-CN"/>
              </w:rPr>
            </w:pPr>
            <w:r>
              <w:rPr>
                <w:rFonts w:ascii="仿宋_GB2312" w:eastAsia="仿宋_GB2312" w:hint="eastAsia"/>
                <w:lang w:val="en-US" w:eastAsia="zh-CN"/>
              </w:rPr>
              <w:t>003</w:t>
            </w:r>
          </w:p>
        </w:tc>
        <w:tc>
          <w:tcPr>
            <w:tcW w:w="2053" w:type="dxa"/>
            <w:tcBorders/>
            <w:vAlign w:val="center"/>
          </w:tcPr>
          <w:p w14:paraId="3CEDDA27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lang w:eastAsia="zh-CN"/>
              </w:rPr>
              <w:t>龙港区货运</w:t>
            </w:r>
            <w:r>
              <w:rPr>
                <w:rFonts w:ascii="仿宋_GB2312" w:eastAsia="仿宋_GB2312" w:hint="eastAsia"/>
              </w:rPr>
              <w:t>行业</w:t>
            </w:r>
          </w:p>
          <w:p w14:paraId="402C7B03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工会</w:t>
            </w:r>
            <w:r>
              <w:rPr>
                <w:rFonts w:ascii="仿宋_GB2312" w:eastAsia="仿宋_GB2312" w:hint="eastAsia"/>
                <w:lang w:eastAsia="zh-CN"/>
              </w:rPr>
              <w:t>综合</w:t>
            </w:r>
            <w:r>
              <w:rPr>
                <w:rFonts w:ascii="仿宋_GB2312" w:eastAsia="仿宋_GB2312" w:hint="eastAsia"/>
              </w:rPr>
              <w:t>岗</w:t>
            </w:r>
          </w:p>
        </w:tc>
        <w:tc>
          <w:tcPr>
            <w:tcW w:w="1280" w:type="dxa"/>
            <w:tcBorders/>
            <w:vAlign w:val="center"/>
          </w:tcPr>
          <w:p w14:paraId="583BD4FF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  <w:lang w:val="en-US" w:eastAsia="zh-CN"/>
              </w:rPr>
              <w:t>1</w:t>
            </w:r>
          </w:p>
        </w:tc>
        <w:tc>
          <w:tcPr>
            <w:tcW w:w="1293" w:type="dxa"/>
            <w:tcBorders/>
            <w:vAlign w:val="center"/>
          </w:tcPr>
          <w:p w14:paraId="39A9422F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专科及以上</w:t>
            </w:r>
          </w:p>
        </w:tc>
        <w:tc>
          <w:tcPr>
            <w:tcW w:w="880" w:type="dxa"/>
            <w:tcBorders/>
            <w:vAlign w:val="center"/>
          </w:tcPr>
          <w:p w14:paraId="1CDF7DEB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不限</w:t>
            </w:r>
          </w:p>
        </w:tc>
        <w:tc>
          <w:tcPr>
            <w:tcW w:w="1387" w:type="dxa"/>
            <w:tcBorders/>
            <w:vAlign w:val="center"/>
          </w:tcPr>
          <w:p w14:paraId="20510F76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45周岁以下</w:t>
            </w:r>
          </w:p>
        </w:tc>
        <w:tc>
          <w:tcPr>
            <w:tcW w:w="2013" w:type="dxa"/>
            <w:tcBorders/>
            <w:vAlign w:val="center"/>
          </w:tcPr>
          <w:p w14:paraId="679863C1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考试（笔试和面试）考核</w:t>
            </w:r>
          </w:p>
        </w:tc>
        <w:tc>
          <w:tcPr>
            <w:tcW w:w="1227" w:type="dxa"/>
            <w:tcBorders/>
            <w:vAlign w:val="center"/>
          </w:tcPr>
          <w:p w14:paraId="2B58A42B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cs="Times New Roman" w:eastAsia="仿宋_GB2312" w:hAnsi="Calibri" w:hint="eastAsia"/>
                <w:kern w:val="2"/>
                <w:sz w:val="21"/>
                <w:szCs w:val="24"/>
                <w:lang w:val="en-US" w:bidi="ar-SA" w:eastAsia="zh-CN"/>
              </w:rPr>
            </w:pPr>
            <w:r>
              <w:rPr>
                <w:rFonts w:ascii="仿宋_GB2312" w:eastAsia="仿宋_GB2312" w:hint="eastAsia"/>
              </w:rPr>
              <w:t>1:</w:t>
            </w:r>
            <w:r>
              <w:rPr>
                <w:rFonts w:ascii="仿宋_GB2312" w:eastAsia="仿宋_GB2312" w:hint="eastAsia"/>
                <w:lang w:val="en-US" w:eastAsia="zh-CN"/>
              </w:rPr>
              <w:t>3</w:t>
            </w:r>
          </w:p>
        </w:tc>
        <w:tc>
          <w:tcPr>
            <w:tcW w:w="1320" w:type="dxa"/>
            <w:tcBorders/>
            <w:vAlign w:val="center"/>
          </w:tcPr>
          <w:p w14:paraId="2F74F15D">
            <w:pPr>
              <w:pStyle w:val="style0"/>
              <w:tabs>
                <w:tab w:val="left" w:leader="none" w:pos="2645"/>
              </w:tabs>
              <w:wordWrap w:val="false"/>
              <w:jc w:val="center"/>
              <w:rPr>
                <w:rFonts w:ascii="仿宋_GB2312" w:eastAsia="仿宋_GB2312" w:hint="eastAsia"/>
              </w:rPr>
            </w:pPr>
          </w:p>
        </w:tc>
      </w:tr>
      <w:tr w14:paraId="57BFD9D1">
        <w:tblPrEx/>
        <w:trPr>
          <w:trHeight w:val="1103" w:hRule="atLeast"/>
        </w:trPr>
        <w:tc>
          <w:tcPr>
            <w:tcW w:w="14034" w:type="dxa"/>
            <w:gridSpan w:val="11"/>
            <w:tcBorders/>
            <w:vAlign w:val="center"/>
          </w:tcPr>
          <w:p w14:paraId="6C0C597B">
            <w:pPr>
              <w:pStyle w:val="style0"/>
              <w:tabs>
                <w:tab w:val="left" w:leader="none" w:pos="2645"/>
              </w:tabs>
              <w:wordWrap w:val="false"/>
              <w:jc w:val="both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说明：</w:t>
            </w:r>
          </w:p>
          <w:p w14:paraId="038B39B9">
            <w:pPr>
              <w:pStyle w:val="style0"/>
              <w:numPr>
                <w:ilvl w:val="0"/>
                <w:numId w:val="1"/>
              </w:numPr>
              <w:tabs>
                <w:tab w:val="left" w:leader="none" w:pos="2645"/>
              </w:tabs>
              <w:wordWrap w:val="false"/>
              <w:jc w:val="both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default"/>
                <w:lang w:val="en-US"/>
              </w:rPr>
              <w:t>试用期</w:t>
            </w:r>
            <w:r>
              <w:rPr>
                <w:rFonts w:ascii="仿宋_GB2312" w:eastAsia="仿宋_GB2312" w:hint="eastAsia"/>
              </w:rPr>
              <w:t>工资2</w:t>
            </w:r>
            <w:r>
              <w:rPr>
                <w:rFonts w:ascii="仿宋_GB2312" w:eastAsia="仿宋_GB2312" w:hint="eastAsia"/>
                <w:lang w:val="en-US" w:eastAsia="zh-CN"/>
              </w:rPr>
              <w:t>76</w:t>
            </w:r>
            <w:r>
              <w:rPr>
                <w:rFonts w:ascii="仿宋_GB2312" w:eastAsia="仿宋_GB2312" w:hint="eastAsia"/>
              </w:rPr>
              <w:t>0元/月</w:t>
            </w:r>
            <w:r>
              <w:rPr>
                <w:rFonts w:ascii="仿宋_GB2312" w:eastAsia="仿宋_GB2312" w:hint="default"/>
                <w:lang w:val="en-US"/>
              </w:rPr>
              <w:t>（应发工资）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 w:hint="eastAsia"/>
                <w:lang w:eastAsia="zh-CN"/>
              </w:rPr>
              <w:t>缴纳五险一金；</w:t>
            </w:r>
          </w:p>
          <w:bookmarkStart w:id="0" w:name="_GoBack"/>
          <w:bookmarkEnd w:id="0"/>
          <w:p w14:paraId="02C1D97A">
            <w:pPr>
              <w:pStyle w:val="style0"/>
              <w:numPr>
                <w:ilvl w:val="0"/>
                <w:numId w:val="1"/>
              </w:numPr>
              <w:tabs>
                <w:tab w:val="left" w:leader="none" w:pos="2645"/>
              </w:tabs>
              <w:wordWrap w:val="false"/>
              <w:jc w:val="both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default"/>
                <w:lang w:val="en-US" w:eastAsia="zh-CN"/>
              </w:rPr>
              <w:t>试用期6个月。</w:t>
            </w:r>
          </w:p>
        </w:tc>
      </w:tr>
    </w:tbl>
    <w:p w14:paraId="03E8597C">
      <w:pPr>
        <w:pStyle w:val="style0"/>
        <w:rPr/>
      </w:pPr>
    </w:p>
    <w:p w14:paraId="33AD0F30">
      <w:pPr>
        <w:pStyle w:val="style0"/>
        <w:rPr/>
      </w:pPr>
    </w:p>
    <w:sectPr>
      <w:pgSz w:w="16838" w:h="11906" w:orient="landscape"/>
      <w:pgMar w:top="1134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DejaVu Sans">
    <w:altName w:val="DejaVu Sans"/>
    <w:panose1 w:val="020b0603030008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方正书宋_GBK">
    <w:altName w:val="方正书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华文仿宋"/>
    <w:panose1 w:val="020106000400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仿宋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方正仿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方正黑体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altName w:val="C059"/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6E5F701B"/>
    <w:lvl w:ilvl="0">
      <w:start w:val="1"/>
      <w:numFmt w:val="decimal"/>
      <w:suff w:val="nothing"/>
      <w:lvlText w:val="%1、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104862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104862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104862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ascii="等线" w:cs="宋体" w:eastAsia="等线" w:hAnsi="等线"/>
      <w:color w:val="104862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ascii="等线" w:cs="宋体" w:eastAsia="等线" w:hAnsi="等线"/>
      <w:color w:val="104862"/>
      <w:sz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/>
      <w:outlineLvl w:val="5"/>
    </w:pPr>
    <w:rPr>
      <w:rFonts w:ascii="等线" w:cs="宋体" w:eastAsia="等线" w:hAnsi="等线"/>
      <w:b/>
      <w:bCs/>
      <w:color w:val="104862"/>
      <w:szCs w:val="22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/>
      <w:outlineLvl w:val="6"/>
    </w:pPr>
    <w:rPr>
      <w:rFonts w:ascii="等线" w:cs="宋体" w:eastAsia="等线" w:hAnsi="等线"/>
      <w:b/>
      <w:bCs/>
      <w:color w:val="595959"/>
      <w:szCs w:val="22"/>
      <w14:textFill>
        <w14:solidFill>
          <w14:srgbClr w14:val="595959"/>
        </w14:solidFill>
      </w14:textFill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outlineLvl w:val="7"/>
    </w:pPr>
    <w:rPr>
      <w:rFonts w:ascii="等线" w:cs="宋体" w:eastAsia="等线" w:hAnsi="等线"/>
      <w:color w:val="595959"/>
      <w:szCs w:val="22"/>
      <w14:textFill>
        <w14:solidFill>
          <w14:srgbClr w14:val="595959"/>
        </w14:solidFill>
      </w14:textFill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outlineLvl w:val="8"/>
    </w:pPr>
    <w:rPr>
      <w:rFonts w:ascii="等线" w:cs="宋体" w:eastAsia="等线 Light" w:hAnsi="等线"/>
      <w:color w:val="595959"/>
      <w:szCs w:val="22"/>
      <w14:textFill>
        <w14:solidFill>
          <w14:srgbClr w14:val="595959"/>
        </w14:solidFill>
      </w14:textFill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4">
    <w:name w:val="Subtitle"/>
    <w:basedOn w:val="style0"/>
    <w:next w:val="style0"/>
    <w:link w:val="style4107"/>
    <w:qFormat/>
    <w:uiPriority w:val="11"/>
    <w:pPr>
      <w:spacing w:after="160"/>
      <w:jc w:val="center"/>
    </w:pPr>
    <w:rPr>
      <w:rFonts w:ascii="等线 Light" w:cs="宋体" w:eastAsia="等线 Light" w:hAnsi="等线 Light"/>
      <w:color w:val="595959"/>
      <w:spacing w:val="15"/>
      <w:sz w:val="28"/>
      <w:szCs w:val="28"/>
      <w14:textFill>
        <w14:solidFill>
          <w14:srgbClr w14:val="595959"/>
        </w14:solidFill>
      </w14:textFill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qFormat/>
    <w:uiPriority w:val="99"/>
    <w:rPr>
      <w:color w:val="467886"/>
      <w:u w:val="single"/>
    </w:rPr>
  </w:style>
  <w:style w:type="character" w:customStyle="1" w:styleId="style4097">
    <w:name w:val="标题 1 字符"/>
    <w:basedOn w:val="style65"/>
    <w:next w:val="style4097"/>
    <w:link w:val="style1"/>
    <w:qFormat/>
    <w:uiPriority w:val="9"/>
    <w:rPr>
      <w:rFonts w:ascii="等线 Light" w:cs="宋体" w:eastAsia="等线 Light" w:hAnsi="等线 Light"/>
      <w:color w:val="104862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qFormat/>
    <w:uiPriority w:val="9"/>
    <w:rPr>
      <w:rFonts w:ascii="等线 Light" w:cs="宋体" w:eastAsia="等线 Light" w:hAnsi="等线 Light"/>
      <w:color w:val="104862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qFormat/>
    <w:uiPriority w:val="9"/>
    <w:rPr>
      <w:rFonts w:ascii="等线 Light" w:cs="宋体" w:eastAsia="等线 Light" w:hAnsi="等线 Light"/>
      <w:color w:val="104862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qFormat/>
    <w:uiPriority w:val="9"/>
    <w:rPr>
      <w:rFonts w:cs="宋体"/>
      <w:color w:val="104862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qFormat/>
    <w:uiPriority w:val="9"/>
    <w:rPr>
      <w:rFonts w:cs="宋体"/>
      <w:color w:val="104862"/>
      <w:sz w:val="24"/>
      <w:szCs w:val="24"/>
    </w:rPr>
  </w:style>
  <w:style w:type="character" w:customStyle="1" w:styleId="style4102">
    <w:name w:val="标题 6 字符"/>
    <w:basedOn w:val="style65"/>
    <w:next w:val="style4102"/>
    <w:link w:val="style6"/>
    <w:qFormat/>
    <w:uiPriority w:val="9"/>
    <w:rPr>
      <w:rFonts w:cs="宋体"/>
      <w:b/>
      <w:bCs/>
      <w:color w:val="104862"/>
    </w:rPr>
  </w:style>
  <w:style w:type="character" w:customStyle="1" w:styleId="style4103">
    <w:name w:val="标题 7 字符"/>
    <w:basedOn w:val="style65"/>
    <w:next w:val="style4103"/>
    <w:link w:val="style7"/>
    <w:qFormat/>
    <w:uiPriority w:val="9"/>
    <w:rPr>
      <w:rFonts w:cs="宋体"/>
      <w:b/>
      <w:bCs/>
      <w:color w:val="595959"/>
      <w14:textFill>
        <w14:solidFill>
          <w14:srgbClr w14:val="595959"/>
        </w14:solidFill>
      </w14:textFill>
    </w:rPr>
  </w:style>
  <w:style w:type="character" w:customStyle="1" w:styleId="style4104">
    <w:name w:val="标题 8 字符"/>
    <w:basedOn w:val="style65"/>
    <w:next w:val="style4104"/>
    <w:link w:val="style8"/>
    <w:qFormat/>
    <w:uiPriority w:val="9"/>
    <w:rPr>
      <w:rFonts w:cs="宋体"/>
      <w:color w:val="595959"/>
      <w14:textFill>
        <w14:solidFill>
          <w14:srgbClr w14:val="595959"/>
        </w14:solidFill>
      </w14:textFill>
    </w:rPr>
  </w:style>
  <w:style w:type="character" w:customStyle="1" w:styleId="style4105">
    <w:name w:val="标题 9 字符"/>
    <w:basedOn w:val="style65"/>
    <w:next w:val="style4105"/>
    <w:link w:val="style9"/>
    <w:qFormat/>
    <w:uiPriority w:val="9"/>
    <w:rPr>
      <w:rFonts w:cs="宋体" w:eastAsia="等线 Light"/>
      <w:color w:val="595959"/>
      <w14:textFill>
        <w14:solidFill>
          <w14:srgbClr w14:val="595959"/>
        </w14:solidFill>
      </w14:textFill>
    </w:rPr>
  </w:style>
  <w:style w:type="character" w:customStyle="1" w:styleId="style4106">
    <w:name w:val="标题 字符"/>
    <w:basedOn w:val="style65"/>
    <w:next w:val="style4106"/>
    <w:link w:val="style62"/>
    <w:qFormat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7">
    <w:name w:val="副标题 字符"/>
    <w:basedOn w:val="style65"/>
    <w:next w:val="style4107"/>
    <w:link w:val="style74"/>
    <w:qFormat/>
    <w:uiPriority w:val="11"/>
    <w:rPr>
      <w:rFonts w:ascii="等线 Light" w:cs="宋体" w:eastAsia="等线 Light" w:hAnsi="等线 Light"/>
      <w:color w:val="595959"/>
      <w:spacing w:val="15"/>
      <w:sz w:val="28"/>
      <w:szCs w:val="28"/>
      <w14:textFill>
        <w14:solidFill>
          <w14:srgbClr w14:val="595959"/>
        </w14:solidFill>
      </w14:textFill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 w:after="160"/>
      <w:jc w:val="center"/>
    </w:pPr>
    <w:rPr>
      <w:rFonts w:ascii="等线" w:cs="宋体" w:eastAsia="等线" w:hAnsi="等线"/>
      <w:i/>
      <w:iCs/>
      <w:color w:val="404040"/>
      <w:szCs w:val="22"/>
      <w14:textFill>
        <w14:solidFill>
          <w14:srgbClr w14:val="3f3f3f"/>
        </w14:solidFill>
      </w14:textFill>
    </w:rPr>
  </w:style>
  <w:style w:type="character" w:customStyle="1" w:styleId="style4108">
    <w:name w:val="引用 字符"/>
    <w:basedOn w:val="style65"/>
    <w:next w:val="style4108"/>
    <w:link w:val="style180"/>
    <w:qFormat/>
    <w:uiPriority w:val="29"/>
    <w:rPr>
      <w:i/>
      <w:iCs/>
      <w:color w:val="404040"/>
      <w14:textFill>
        <w14:solidFill>
          <w14:srgbClr w14:val="3f3f3f"/>
        </w14:solidFill>
      </w14:textFill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等线" w:cs="宋体" w:eastAsia="等线" w:hAnsi="等线"/>
      <w:szCs w:val="22"/>
    </w:rPr>
  </w:style>
  <w:style w:type="character" w:customStyle="1" w:styleId="style4109">
    <w:name w:val="Intense Emphasis_f220214f-abb4-46df-af8d-3c9751336261"/>
    <w:basedOn w:val="style65"/>
    <w:next w:val="style4109"/>
    <w:qFormat/>
    <w:uiPriority w:val="21"/>
    <w:rPr>
      <w:i/>
      <w:iCs/>
      <w:color w:val="104862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等线" w:cs="宋体" w:eastAsia="等线" w:hAnsi="等线"/>
      <w:i/>
      <w:iCs/>
      <w:color w:val="104862"/>
      <w:szCs w:val="22"/>
    </w:rPr>
  </w:style>
  <w:style w:type="character" w:customStyle="1" w:styleId="style4110">
    <w:name w:val="明显引用 字符"/>
    <w:basedOn w:val="style65"/>
    <w:next w:val="style4110"/>
    <w:link w:val="style181"/>
    <w:qFormat/>
    <w:uiPriority w:val="30"/>
    <w:rPr>
      <w:i/>
      <w:iCs/>
      <w:color w:val="104862"/>
    </w:rPr>
  </w:style>
  <w:style w:type="character" w:customStyle="1" w:styleId="style4111">
    <w:name w:val="Intense Reference_64da3702-fff9-4ed6-84c3-5bae91395e9f"/>
    <w:basedOn w:val="style65"/>
    <w:next w:val="style4111"/>
    <w:qFormat/>
    <w:uiPriority w:val="32"/>
    <w:rPr>
      <w:b/>
      <w:bCs/>
      <w:smallCaps/>
      <w:color w:val="104862"/>
      <w:spacing w:val="5"/>
    </w:rPr>
  </w:style>
  <w:style w:type="character" w:customStyle="1" w:styleId="style4112">
    <w:name w:val="Unresolved Mention"/>
    <w:basedOn w:val="style65"/>
    <w:next w:val="style4112"/>
    <w:qFormat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232</Words>
  <Pages>9</Pages>
  <Characters>250</Characters>
  <Application>WPS Office</Application>
  <DocSecurity>0</DocSecurity>
  <Paragraphs>65</Paragraphs>
  <ScaleCrop>false</ScaleCrop>
  <LinksUpToDate>false</LinksUpToDate>
  <CharactersWithSpaces>250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2026-09-16T06:36:19Z</dcterms:created>
  <dc:creator>金颖 张</dc:creator>
  <lastModifiedBy>DBY2-W00</lastModifiedBy>
  <dcterms:modified xsi:type="dcterms:W3CDTF">2026-09-16T06:36:19Z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9b418b9e61e14d4494690755af99eb67_23</vt:lpwstr>
  </property>
</Properties>
</file>