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2465F">
      <w:pPr>
        <w:spacing w:line="600" w:lineRule="exact"/>
        <w:rPr>
          <w:rFonts w:hint="default" w:ascii="方正小标宋简体" w:hAnsi="方正小标宋简体" w:eastAsia="方正小标宋简体" w:cs="方正小标宋简体"/>
          <w:b/>
          <w:sz w:val="44"/>
          <w:szCs w:val="44"/>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6</w:t>
      </w:r>
      <w:bookmarkStart w:id="0" w:name="_GoBack"/>
      <w:bookmarkEnd w:id="0"/>
      <w:r>
        <w:rPr>
          <w:rFonts w:hint="eastAsia" w:ascii="黑体" w:hAnsi="黑体" w:eastAsia="黑体" w:cs="黑体"/>
          <w:sz w:val="32"/>
          <w:szCs w:val="32"/>
        </w:rPr>
        <w:t>：</w:t>
      </w:r>
    </w:p>
    <w:p w14:paraId="1250739D">
      <w:pPr>
        <w:pStyle w:val="21"/>
        <w:spacing w:line="560" w:lineRule="exact"/>
        <w:ind w:firstLine="0" w:firstLineChars="0"/>
        <w:jc w:val="center"/>
        <w:rPr>
          <w:rFonts w:hint="default" w:ascii="Arial" w:hAnsi="Arial" w:eastAsia="Arial" w:cs="Arial"/>
          <w:i w:val="0"/>
          <w:caps w:val="0"/>
          <w:color w:val="222222"/>
          <w:spacing w:val="8"/>
          <w:sz w:val="32"/>
          <w:szCs w:val="32"/>
        </w:rPr>
      </w:pPr>
      <w:r>
        <w:rPr>
          <w:rFonts w:hint="eastAsia" w:ascii="方正小标宋简体" w:hAnsi="方正小标宋简体" w:eastAsia="方正小标宋简体" w:cs="方正小标宋简体"/>
          <w:b/>
          <w:sz w:val="44"/>
          <w:szCs w:val="44"/>
          <w:lang w:val="en-US" w:eastAsia="zh-CN"/>
        </w:rPr>
        <w:t>应急</w:t>
      </w:r>
      <w:r>
        <w:rPr>
          <w:rFonts w:hint="eastAsia" w:ascii="方正小标宋简体" w:hAnsi="方正小标宋简体" w:eastAsia="方正小标宋简体" w:cs="方正小标宋简体"/>
          <w:b/>
          <w:sz w:val="44"/>
          <w:szCs w:val="44"/>
        </w:rPr>
        <w:t>船员</w:t>
      </w:r>
      <w:r>
        <w:rPr>
          <w:rFonts w:hint="eastAsia" w:ascii="方正小标宋简体" w:hAnsi="方正小标宋简体" w:eastAsia="方正小标宋简体" w:cs="方正小标宋简体"/>
          <w:b/>
          <w:sz w:val="44"/>
          <w:szCs w:val="44"/>
          <w:lang w:eastAsia="zh-CN"/>
        </w:rPr>
        <w:t>体检标准</w:t>
      </w:r>
    </w:p>
    <w:p w14:paraId="21C548F5">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lang w:val="en-US" w:eastAsia="zh-CN"/>
        </w:rPr>
      </w:pPr>
    </w:p>
    <w:p w14:paraId="765784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依据</w:t>
      </w:r>
      <w:r>
        <w:rPr>
          <w:rFonts w:hint="eastAsia" w:ascii="仿宋_GB2312" w:hAnsi="仿宋_GB2312" w:eastAsia="仿宋_GB2312" w:cs="仿宋_GB2312"/>
          <w:sz w:val="32"/>
          <w:szCs w:val="32"/>
        </w:rPr>
        <w:t>《船员健康检查要求》（GB 30035-2021）执行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本标准适用于船员为胜任内河船相应的工作岗位、充分履行职责、安全值班以及应付水上紧急情况应具备的健康资格的评定。</w:t>
      </w:r>
    </w:p>
    <w:p w14:paraId="76578412">
      <w:pPr>
        <w:spacing w:line="560" w:lineRule="exact"/>
        <w:ind w:firstLineChars="200"/>
        <w:rPr>
          <w:rFonts w:asciiTheme="minorHAnsi" w:hAnsiTheme="minorHAnsi" w:eastAsiaTheme="minorEastAsia" w:cstheme="minorBidi"/>
          <w:kern w:val="2"/>
          <w:sz w:val="21"/>
          <w:szCs w:val="24"/>
          <w:lang w:val="en-US" w:eastAsia="zh-CN" w:bidi="ar-SA"/>
        </w:rPr>
      </w:pPr>
      <w:r>
        <w:rPr>
          <w:rFonts w:hint="eastAsia" w:ascii="仿宋_GB2312" w:hAnsi="仿宋_GB2312" w:eastAsia="仿宋_GB2312" w:cstheme="minorBidi"/>
          <w:kern w:val="2"/>
          <w:sz w:val="32"/>
          <w:szCs w:val="32"/>
          <w:lang w:val="en-US" w:eastAsia="zh-CN" w:bidi="ar-SA"/>
        </w:rPr>
        <w:t>健康条件：</w:t>
      </w:r>
    </w:p>
    <w:p w14:paraId="76578413">
      <w:pPr>
        <w:spacing w:line="560" w:lineRule="exact"/>
        <w:ind w:firstLineChars="200"/>
        <w:rPr>
          <w:rFonts w:asciiTheme="minorHAnsi" w:hAnsiTheme="minorHAnsi" w:eastAsiaTheme="minorEastAsia" w:cstheme="minorBidi"/>
          <w:kern w:val="2"/>
          <w:sz w:val="21"/>
          <w:szCs w:val="24"/>
          <w:lang w:val="en-US" w:eastAsia="zh-CN" w:bidi="ar-SA"/>
        </w:rPr>
      </w:pPr>
      <w:r>
        <w:rPr>
          <w:rFonts w:hint="eastAsia" w:ascii="仿宋_GB2312" w:hAnsi="仿宋_GB2312" w:eastAsia="仿宋_GB2312" w:cstheme="minorBidi"/>
          <w:kern w:val="2"/>
          <w:sz w:val="32"/>
          <w:szCs w:val="32"/>
          <w:lang w:val="en-US" w:eastAsia="zh-CN" w:bidi="ar-SA"/>
        </w:rPr>
        <w:t>1、身高：船长和甲板部高级船员身高应不低于155cm；轮机部高级船员及除服务船员外的其他普通船员、服务船员身高应不低于150cm。</w:t>
      </w:r>
    </w:p>
    <w:p w14:paraId="76578414">
      <w:pPr>
        <w:spacing w:line="560" w:lineRule="exact"/>
        <w:ind w:firstLineChars="200"/>
        <w:rPr>
          <w:rFonts w:asciiTheme="minorHAnsi" w:hAnsiTheme="minorHAnsi" w:eastAsiaTheme="minorEastAsia" w:cstheme="minorBidi"/>
          <w:kern w:val="2"/>
          <w:sz w:val="21"/>
          <w:szCs w:val="24"/>
          <w:lang w:val="en-US" w:eastAsia="zh-CN" w:bidi="ar-SA"/>
        </w:rPr>
      </w:pPr>
      <w:r>
        <w:rPr>
          <w:rFonts w:hint="eastAsia" w:ascii="仿宋_GB2312" w:hAnsi="仿宋_GB2312" w:eastAsia="仿宋_GB2312" w:cstheme="minorBidi"/>
          <w:kern w:val="2"/>
          <w:sz w:val="32"/>
          <w:szCs w:val="32"/>
          <w:lang w:val="en-US" w:eastAsia="zh-CN" w:bidi="ar-SA"/>
        </w:rPr>
        <w:t>2、血压：收缩压90～150mmHg，舒张压60～95mmHg。</w:t>
      </w:r>
    </w:p>
    <w:p w14:paraId="76578415">
      <w:pPr>
        <w:spacing w:line="560" w:lineRule="exact"/>
        <w:ind w:firstLineChars="200"/>
        <w:rPr>
          <w:rFonts w:asciiTheme="minorHAnsi" w:hAnsiTheme="minorHAnsi" w:eastAsiaTheme="minorEastAsia" w:cstheme="minorBidi"/>
          <w:kern w:val="2"/>
          <w:sz w:val="21"/>
          <w:szCs w:val="24"/>
          <w:lang w:val="en-US" w:eastAsia="zh-CN" w:bidi="ar-SA"/>
        </w:rPr>
      </w:pPr>
      <w:r>
        <w:rPr>
          <w:rFonts w:hint="eastAsia" w:ascii="仿宋_GB2312" w:hAnsi="仿宋_GB2312" w:eastAsia="仿宋_GB2312" w:cstheme="minorBidi"/>
          <w:kern w:val="2"/>
          <w:sz w:val="32"/>
          <w:szCs w:val="32"/>
          <w:lang w:val="en-US" w:eastAsia="zh-CN" w:bidi="ar-SA"/>
        </w:rPr>
        <w:t>3、心率和呼吸：心率50～100次/min，呼吸频率14～20次/min。</w:t>
      </w:r>
    </w:p>
    <w:p w14:paraId="76578416">
      <w:pPr>
        <w:spacing w:line="560" w:lineRule="exact"/>
        <w:ind w:firstLineChars="200"/>
        <w:rPr>
          <w:rFonts w:asciiTheme="minorHAnsi" w:hAnsiTheme="minorHAnsi" w:eastAsiaTheme="minorEastAsia" w:cstheme="minorBidi"/>
          <w:kern w:val="2"/>
          <w:sz w:val="21"/>
          <w:szCs w:val="24"/>
          <w:lang w:val="en-US" w:eastAsia="zh-CN" w:bidi="ar-SA"/>
        </w:rPr>
      </w:pPr>
      <w:r>
        <w:rPr>
          <w:rFonts w:hint="eastAsia" w:ascii="仿宋_GB2312" w:hAnsi="仿宋_GB2312" w:eastAsia="仿宋_GB2312" w:cstheme="minorBidi"/>
          <w:kern w:val="2"/>
          <w:sz w:val="32"/>
          <w:szCs w:val="32"/>
          <w:lang w:val="en-US" w:eastAsia="zh-CN" w:bidi="ar-SA"/>
        </w:rPr>
        <w:t>4、视力：采用GB/T 11533规定的视力表小数记录法。</w:t>
      </w:r>
    </w:p>
    <w:p w14:paraId="76578417">
      <w:pPr>
        <w:spacing w:line="560" w:lineRule="exact"/>
        <w:ind w:firstLineChars="200"/>
        <w:rPr>
          <w:rFonts w:asciiTheme="minorHAnsi" w:hAnsiTheme="minorHAnsi" w:eastAsiaTheme="minorEastAsia" w:cstheme="minorBidi"/>
          <w:kern w:val="2"/>
          <w:sz w:val="21"/>
          <w:szCs w:val="24"/>
          <w:lang w:val="en-US" w:eastAsia="zh-CN" w:bidi="ar-SA"/>
        </w:rPr>
      </w:pPr>
      <w:r>
        <w:rPr>
          <w:rFonts w:hint="eastAsia" w:ascii="仿宋_GB2312" w:hAnsi="仿宋_GB2312" w:eastAsia="仿宋_GB2312" w:cstheme="minorBidi"/>
          <w:kern w:val="2"/>
          <w:sz w:val="32"/>
          <w:szCs w:val="32"/>
          <w:lang w:val="en-US" w:eastAsia="zh-CN" w:bidi="ar-SA"/>
        </w:rPr>
        <w:t>（1）远视力：船长和甲板部高级船员双眼裸视力均能达到0.8及以上，或双眼裸视力均能达到0.5及以上且矫正视力均能达到0.8及以上；轮机部高级船员及除服务船员外的其他普通船员双眼裸视力均能达到0.6及以上，或双眼裸视力均能达到0.4及以上且矫正视力均能达到0.6及以上；服务船员双眼裸视力均能达到0.4及以上，或双眼裸视力均能达到0.1及以上且矫正视力均能达到0.4及以上。</w:t>
      </w:r>
    </w:p>
    <w:p w14:paraId="76578418">
      <w:pPr>
        <w:spacing w:line="560" w:lineRule="exact"/>
        <w:ind w:firstLineChars="200"/>
        <w:rPr>
          <w:rFonts w:asciiTheme="minorHAnsi" w:hAnsiTheme="minorHAnsi" w:eastAsiaTheme="minorEastAsia" w:cstheme="minorBidi"/>
          <w:kern w:val="2"/>
          <w:sz w:val="21"/>
          <w:szCs w:val="24"/>
          <w:lang w:val="en-US" w:eastAsia="zh-CN" w:bidi="ar-SA"/>
        </w:rPr>
      </w:pPr>
      <w:r>
        <w:rPr>
          <w:rFonts w:hint="eastAsia" w:ascii="仿宋_GB2312" w:hAnsi="仿宋_GB2312" w:eastAsia="仿宋_GB2312" w:cstheme="minorBidi"/>
          <w:kern w:val="2"/>
          <w:sz w:val="32"/>
          <w:szCs w:val="32"/>
          <w:lang w:val="en-US" w:eastAsia="zh-CN" w:bidi="ar-SA"/>
        </w:rPr>
        <w:t>（2）近视力：船长和甲板部高级船员双眼裸视力均能达到0.8及以上，或双眼裸视力均能达到0.5及以上且双眼矫正视力均能达到0.8及以上；轮机部高级船员及除服务船员外的其他普通船员、服务船员双眼裸视力均能达到0.6及以上，或双眼裸视力均能达到0.4及以上且双眼矫正视力均能达到0.6及以上。</w:t>
      </w:r>
    </w:p>
    <w:p w14:paraId="76578419">
      <w:pPr>
        <w:spacing w:line="560" w:lineRule="exact"/>
        <w:ind w:firstLineChars="200"/>
        <w:rPr>
          <w:rFonts w:asciiTheme="minorHAnsi" w:hAnsiTheme="minorHAnsi" w:eastAsiaTheme="minorEastAsia" w:cstheme="minorBidi"/>
          <w:kern w:val="2"/>
          <w:sz w:val="21"/>
          <w:szCs w:val="24"/>
          <w:lang w:val="en-US" w:eastAsia="zh-CN" w:bidi="ar-SA"/>
        </w:rPr>
      </w:pPr>
      <w:r>
        <w:rPr>
          <w:rFonts w:hint="eastAsia" w:ascii="仿宋_GB2312" w:hAnsi="仿宋_GB2312" w:eastAsia="仿宋_GB2312" w:cstheme="minorBidi"/>
          <w:kern w:val="2"/>
          <w:sz w:val="32"/>
          <w:szCs w:val="32"/>
          <w:lang w:val="en-US" w:eastAsia="zh-CN" w:bidi="ar-SA"/>
        </w:rPr>
        <w:t>5、视野：正常。</w:t>
      </w:r>
    </w:p>
    <w:p w14:paraId="7657841A">
      <w:pPr>
        <w:spacing w:line="560" w:lineRule="exact"/>
        <w:ind w:firstLineChars="200"/>
        <w:rPr>
          <w:rFonts w:asciiTheme="minorHAnsi" w:hAnsiTheme="minorHAnsi" w:eastAsiaTheme="minorEastAsia" w:cstheme="minorBidi"/>
          <w:kern w:val="2"/>
          <w:sz w:val="21"/>
          <w:szCs w:val="24"/>
          <w:lang w:val="en-US" w:eastAsia="zh-CN" w:bidi="ar-SA"/>
        </w:rPr>
      </w:pPr>
      <w:r>
        <w:rPr>
          <w:rFonts w:hint="eastAsia" w:ascii="仿宋_GB2312" w:hAnsi="仿宋_GB2312" w:eastAsia="仿宋_GB2312" w:cstheme="minorBidi"/>
          <w:kern w:val="2"/>
          <w:sz w:val="32"/>
          <w:szCs w:val="32"/>
          <w:lang w:val="en-US" w:eastAsia="zh-CN" w:bidi="ar-SA"/>
        </w:rPr>
        <w:t>6、复视：无复视。</w:t>
      </w:r>
    </w:p>
    <w:p w14:paraId="7657841B">
      <w:pPr>
        <w:spacing w:line="560" w:lineRule="exact"/>
        <w:ind w:firstLineChars="200"/>
        <w:rPr>
          <w:rFonts w:asciiTheme="minorHAnsi" w:hAnsiTheme="minorHAnsi" w:eastAsiaTheme="minorEastAsia" w:cstheme="minorBidi"/>
          <w:kern w:val="2"/>
          <w:sz w:val="21"/>
          <w:szCs w:val="24"/>
          <w:lang w:val="en-US" w:eastAsia="zh-CN" w:bidi="ar-SA"/>
        </w:rPr>
      </w:pPr>
      <w:r>
        <w:rPr>
          <w:rFonts w:hint="eastAsia" w:ascii="仿宋_GB2312" w:hAnsi="仿宋_GB2312" w:eastAsia="仿宋_GB2312" w:cstheme="minorBidi"/>
          <w:kern w:val="2"/>
          <w:sz w:val="32"/>
          <w:szCs w:val="32"/>
          <w:lang w:val="en-US" w:eastAsia="zh-CN" w:bidi="ar-SA"/>
        </w:rPr>
        <w:t>7、暗适应：正常。</w:t>
      </w:r>
    </w:p>
    <w:p w14:paraId="7657841C">
      <w:pPr>
        <w:spacing w:line="560" w:lineRule="exact"/>
        <w:ind w:firstLineChars="200"/>
        <w:rPr>
          <w:rFonts w:asciiTheme="minorHAnsi" w:hAnsiTheme="minorHAnsi" w:eastAsiaTheme="minorEastAsia" w:cstheme="minorBidi"/>
          <w:kern w:val="2"/>
          <w:sz w:val="21"/>
          <w:szCs w:val="24"/>
          <w:lang w:val="en-US" w:eastAsia="zh-CN" w:bidi="ar-SA"/>
        </w:rPr>
      </w:pPr>
      <w:r>
        <w:rPr>
          <w:rFonts w:hint="eastAsia" w:ascii="仿宋_GB2312" w:hAnsi="仿宋_GB2312" w:eastAsia="仿宋_GB2312" w:cstheme="minorBidi"/>
          <w:kern w:val="2"/>
          <w:sz w:val="32"/>
          <w:szCs w:val="32"/>
          <w:lang w:val="en-US" w:eastAsia="zh-CN" w:bidi="ar-SA"/>
        </w:rPr>
        <w:t>8、色觉：采用俞自萍假同色表测定，船长和甲板部高级船员辨色力正常，其他岗位船员无红绿色盲。</w:t>
      </w:r>
    </w:p>
    <w:p w14:paraId="7657841D">
      <w:pPr>
        <w:spacing w:line="560" w:lineRule="exact"/>
        <w:ind w:firstLineChars="200"/>
        <w:rPr>
          <w:rFonts w:asciiTheme="minorHAnsi" w:hAnsiTheme="minorHAnsi" w:eastAsiaTheme="minorEastAsia" w:cstheme="minorBidi"/>
          <w:kern w:val="2"/>
          <w:sz w:val="21"/>
          <w:szCs w:val="24"/>
          <w:lang w:val="en-US" w:eastAsia="zh-CN" w:bidi="ar-SA"/>
        </w:rPr>
      </w:pPr>
      <w:r>
        <w:rPr>
          <w:rFonts w:hint="eastAsia" w:ascii="仿宋_GB2312" w:hAnsi="仿宋_GB2312" w:eastAsia="仿宋_GB2312" w:cstheme="minorBidi"/>
          <w:kern w:val="2"/>
          <w:sz w:val="32"/>
          <w:szCs w:val="32"/>
          <w:lang w:val="en-US" w:eastAsia="zh-CN" w:bidi="ar-SA"/>
        </w:rPr>
        <w:t>9、听力：采用耳语检查法，双耳听力无异常。</w:t>
      </w:r>
    </w:p>
    <w:p w14:paraId="7657841E">
      <w:pPr>
        <w:spacing w:line="560" w:lineRule="exact"/>
        <w:ind w:firstLineChars="200"/>
        <w:rPr>
          <w:rFonts w:asciiTheme="minorHAnsi" w:hAnsiTheme="minorHAnsi" w:eastAsiaTheme="minorEastAsia" w:cstheme="minorBidi"/>
          <w:kern w:val="2"/>
          <w:sz w:val="21"/>
          <w:szCs w:val="24"/>
          <w:lang w:val="en-US" w:eastAsia="zh-CN" w:bidi="ar-SA"/>
        </w:rPr>
      </w:pPr>
      <w:r>
        <w:rPr>
          <w:rFonts w:hint="eastAsia" w:ascii="仿宋_GB2312" w:hAnsi="仿宋_GB2312" w:eastAsia="仿宋_GB2312" w:cstheme="minorBidi"/>
          <w:kern w:val="2"/>
          <w:sz w:val="32"/>
          <w:szCs w:val="32"/>
          <w:lang w:val="en-US" w:eastAsia="zh-CN" w:bidi="ar-SA"/>
        </w:rPr>
        <w:t>10、语言：船长和甲板部高级船员、轮机部高级船员及除服务船员外的其他普通船员应具有良好的语言交流能力，无口吃；服务船员应具有正常的语言沟通能力。</w:t>
      </w:r>
    </w:p>
    <w:p w14:paraId="7657841F">
      <w:pPr>
        <w:spacing w:line="560" w:lineRule="exact"/>
        <w:ind w:firstLineChars="200"/>
        <w:rPr>
          <w:rFonts w:asciiTheme="minorHAnsi" w:hAnsiTheme="minorHAnsi" w:eastAsiaTheme="minorEastAsia" w:cstheme="minorBidi"/>
          <w:kern w:val="2"/>
          <w:sz w:val="21"/>
          <w:szCs w:val="24"/>
          <w:lang w:val="en-US" w:eastAsia="zh-CN" w:bidi="ar-SA"/>
        </w:rPr>
      </w:pPr>
      <w:r>
        <w:rPr>
          <w:rFonts w:hint="eastAsia" w:ascii="仿宋_GB2312" w:hAnsi="仿宋_GB2312" w:eastAsia="仿宋_GB2312" w:cstheme="minorBidi"/>
          <w:kern w:val="2"/>
          <w:sz w:val="32"/>
          <w:szCs w:val="32"/>
          <w:lang w:val="en-US" w:eastAsia="zh-CN" w:bidi="ar-SA"/>
        </w:rPr>
        <w:t>11、脊柱、四肢：双下肢不等长不超过2cm，脊柱侧弯不超过4cm且无明显后凸畸形，四肢无残缺；脊柱及四肢肌力正常，共济运动良好。</w:t>
      </w:r>
    </w:p>
    <w:p w14:paraId="76578420">
      <w:pPr>
        <w:spacing w:line="560" w:lineRule="exact"/>
        <w:ind w:firstLineChars="200"/>
        <w:rPr>
          <w:rFonts w:asciiTheme="minorHAnsi" w:hAnsiTheme="minorHAnsi" w:eastAsiaTheme="minorEastAsia" w:cstheme="minorBidi"/>
          <w:kern w:val="2"/>
          <w:sz w:val="21"/>
          <w:szCs w:val="24"/>
          <w:lang w:val="en-US" w:eastAsia="zh-CN" w:bidi="ar-SA"/>
        </w:rPr>
      </w:pPr>
      <w:r>
        <w:rPr>
          <w:rFonts w:hint="eastAsia" w:ascii="仿宋_GB2312" w:hAnsi="仿宋_GB2312" w:eastAsia="仿宋_GB2312" w:cstheme="minorBidi"/>
          <w:kern w:val="2"/>
          <w:sz w:val="32"/>
          <w:szCs w:val="32"/>
          <w:lang w:val="en-US" w:eastAsia="zh-CN" w:bidi="ar-SA"/>
        </w:rPr>
        <w:t>12、职业限制：应符合GB 30035-2021附录A（规范性）《船员职业限制》的规定，患有附录A列明的不准许上船工作的疾病者，不得报名参加本次招聘。主要包括：各种引起心功能不全的心脏、血管系统疾病者；支气管哮喘反复发作、支气管扩张反复咯血、反复发作的自发性气胸及各种原因引起的肺功能不全者；消化道溃疡合并出血、穿孔、梗阻，肝硬化失代偿期或合并食道静脉曲张等严重消化系统疾病者；肾小球肾炎、肾病综合征、肾功能不全等严重泌尿系统疾病者；各种溶血、出血性疾病，中度以上贫血者；甲状腺功能亢进或减退且使用药物控制不良者，糖尿病需注射胰岛素控制者（仅限在配备冷藏冰箱的船舶工作），以及其他严重影响船上正常工作或安全者；癫痫、病理性晕厥或原因不明的意识障碍、短暂脑缺血发作及其他引起智力或肢体活动功能障碍的神经系统疾病者；夜游症、严重的神经官能症、抑郁症、焦虑症及其他各种类型精神病者，药物性依赖或持续性滥用药物者，酗酒者；恶性肿瘤未治愈者；各类骨关节炎伴有严重功能障碍、严重骨质疏松症、引起肌力下降小于或等于四级、习惯性大关节脱位、脊椎手术后脊柱不稳定、引起肢体平衡和协调障碍等运动系统疾病者；影响听力的耳病，严重的鼻息肉、鼻腔良性肿瘤，难以治愈影响吞咽、发声功能的咽喉部疾病及严重影响咀嚼功能和语言功能的口腔疾病者；瞳孔变形、角膜、巩膜、虹膜睫状体疾病、眼内肌运动障碍严重影响视觉功能者；患有《中华人民共和国传染病防治法》规定的传染病且在传染期内者，肠道传染性疾病病原携带者、患有化脓性或者渗出性皮肤病以及其他有碍食品或公共卫生疾病者还不准许在船担任服务船员；妊娠7个月以上或异常妊娠者；严重的语言障碍者；严重的胸廓畸形者；疝气有嵌顿危险者；硬皮病、严重银屑病、红皮病、脓疱疮者。对未在附录A中提及但可能影响安全地履行船上日常与应急职责的病症，在没有确诊之前或者进行充分有效治疗之前，暂时不准许上船工作。</w:t>
      </w:r>
    </w:p>
    <w:p w14:paraId="76578421">
      <w:pPr>
        <w:spacing w:line="560" w:lineRule="exact"/>
        <w:ind w:firstLineChars="200"/>
        <w:rPr>
          <w:rFonts w:asciiTheme="minorHAnsi" w:hAnsiTheme="minorHAnsi" w:eastAsiaTheme="minorEastAsia" w:cstheme="minorBidi"/>
          <w:kern w:val="2"/>
          <w:sz w:val="21"/>
          <w:szCs w:val="24"/>
          <w:lang w:val="en-US" w:eastAsia="zh-CN" w:bidi="ar-SA"/>
        </w:rPr>
      </w:pPr>
      <w:r>
        <w:rPr>
          <w:rFonts w:hint="eastAsia" w:ascii="仿宋_GB2312" w:hAnsi="仿宋_GB2312" w:eastAsia="仿宋_GB2312" w:cstheme="minorBidi"/>
          <w:kern w:val="2"/>
          <w:sz w:val="32"/>
          <w:szCs w:val="32"/>
          <w:lang w:val="en-US" w:eastAsia="zh-CN" w:bidi="ar-SA"/>
        </w:rPr>
        <w:t>13、检查和评定：船员健康检查应按GB 30035-2021附录C的要求进行，填写内河船舶船员健康检查表，检查项目不得减项。血常规、尿常规、胸部X线检查、心电图为基本检查项目，服务船员还应进行大便细菌培养检查；腹部、妇科、泌尿系统超声波检查和心脏彩超检查仅限于有症状或病史者。健康检查结论分为合格和不合格：符合本标准所规定的健康要求的，评定为合格；不符合本标准所规定的健康要求的，评定为不合格。</w:t>
      </w:r>
    </w:p>
    <w:p w14:paraId="1DF7B4F3">
      <w:pPr>
        <w:keepNext w:val="0"/>
        <w:keepLines w:val="0"/>
        <w:widowControl/>
        <w:suppressLineNumbers w:val="0"/>
        <w:ind w:firstLine="189"/>
        <w:jc w:val="left"/>
        <w:rPr>
          <w:position w:val="-210"/>
        </w:rPr>
      </w:pPr>
      <w:r>
        <w:rPr>
          <w:rFonts w:hint="eastAsia" w:asciiTheme="minorHAnsi" w:hAnsiTheme="minorHAnsi" w:eastAsiaTheme="minorEastAsia" w:cstheme="minorBidi"/>
          <w:spacing w:val="-10"/>
          <w:kern w:val="2"/>
          <w:sz w:val="21"/>
          <w:szCs w:val="24"/>
          <w:lang w:val="en-US" w:eastAsia="zh-CN" w:bidi="ar-SA"/>
        </w:rPr>
        <w:t xml:space="preserve"> </w:t>
      </w:r>
      <w:r>
        <w:rPr>
          <w:position w:val="-210"/>
        </w:rPr>
        <w:drawing>
          <wp:inline distT="0" distB="0" distL="0" distR="0">
            <wp:extent cx="5259070" cy="6697345"/>
            <wp:effectExtent l="0" t="0" r="13970" b="8255"/>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4"/>
                    <a:stretch>
                      <a:fillRect/>
                    </a:stretch>
                  </pic:blipFill>
                  <pic:spPr>
                    <a:xfrm>
                      <a:off x="0" y="0"/>
                      <a:ext cx="5259648" cy="6697795"/>
                    </a:xfrm>
                    <a:prstGeom prst="rect">
                      <a:avLst/>
                    </a:prstGeom>
                  </pic:spPr>
                </pic:pic>
              </a:graphicData>
            </a:graphic>
          </wp:inline>
        </w:drawing>
      </w:r>
    </w:p>
    <w:p w14:paraId="445676FA">
      <w:pPr>
        <w:keepNext w:val="0"/>
        <w:keepLines w:val="0"/>
        <w:widowControl/>
        <w:suppressLineNumbers w:val="0"/>
        <w:ind w:firstLine="189"/>
        <w:jc w:val="left"/>
        <w:rPr>
          <w:position w:val="-253"/>
        </w:rPr>
      </w:pPr>
      <w:r>
        <w:rPr>
          <w:position w:val="-226"/>
        </w:rPr>
        <w:drawing>
          <wp:inline distT="0" distB="0" distL="0" distR="0">
            <wp:extent cx="5625465" cy="7180580"/>
            <wp:effectExtent l="0" t="0" r="13335" b="1270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5"/>
                    <a:stretch>
                      <a:fillRect/>
                    </a:stretch>
                  </pic:blipFill>
                  <pic:spPr>
                    <a:xfrm>
                      <a:off x="0" y="0"/>
                      <a:ext cx="5625655" cy="7180874"/>
                    </a:xfrm>
                    <a:prstGeom prst="rect">
                      <a:avLst/>
                    </a:prstGeom>
                  </pic:spPr>
                </pic:pic>
              </a:graphicData>
            </a:graphic>
          </wp:inline>
        </w:drawing>
      </w:r>
      <w:r>
        <w:rPr>
          <w:position w:val="-253"/>
        </w:rPr>
        <w:drawing>
          <wp:inline distT="0" distB="0" distL="0" distR="0">
            <wp:extent cx="5363845" cy="8042275"/>
            <wp:effectExtent l="0" t="0" r="635" b="4445"/>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6"/>
                    <a:stretch>
                      <a:fillRect/>
                    </a:stretch>
                  </pic:blipFill>
                  <pic:spPr>
                    <a:xfrm>
                      <a:off x="0" y="0"/>
                      <a:ext cx="5364397" cy="8042283"/>
                    </a:xfrm>
                    <a:prstGeom prst="rect">
                      <a:avLst/>
                    </a:prstGeom>
                  </pic:spPr>
                </pic:pic>
              </a:graphicData>
            </a:graphic>
          </wp:inline>
        </w:drawing>
      </w:r>
    </w:p>
    <w:p w14:paraId="1F65A1DC">
      <w:pPr>
        <w:keepNext w:val="0"/>
        <w:keepLines w:val="0"/>
        <w:widowControl/>
        <w:suppressLineNumbers w:val="0"/>
        <w:ind w:firstLine="189"/>
        <w:jc w:val="left"/>
        <w:rPr>
          <w:rFonts w:hint="eastAsia"/>
          <w:position w:val="-253"/>
          <w:lang w:val="en-US" w:eastAsia="zh-CN"/>
        </w:rPr>
      </w:pPr>
      <w:r>
        <w:rPr>
          <w:position w:val="-242"/>
        </w:rPr>
        <w:drawing>
          <wp:inline distT="0" distB="0" distL="0" distR="0">
            <wp:extent cx="5634990" cy="7713980"/>
            <wp:effectExtent l="0" t="0" r="3810" b="1270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7"/>
                    <a:stretch>
                      <a:fillRect/>
                    </a:stretch>
                  </pic:blipFill>
                  <pic:spPr>
                    <a:xfrm>
                      <a:off x="0" y="0"/>
                      <a:ext cx="5635514" cy="7714479"/>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450762"/>
    <w:rsid w:val="1D6C5C9E"/>
    <w:rsid w:val="25061F8B"/>
    <w:rsid w:val="27063DD6"/>
    <w:rsid w:val="2E7456A0"/>
    <w:rsid w:val="334D7955"/>
    <w:rsid w:val="3C552F51"/>
    <w:rsid w:val="3F161966"/>
    <w:rsid w:val="4AE85A84"/>
    <w:rsid w:val="4D4152F2"/>
    <w:rsid w:val="54A35F7E"/>
    <w:rsid w:val="57CB42E4"/>
    <w:rsid w:val="6ACF32C7"/>
    <w:rsid w:val="782806A3"/>
    <w:rsid w:val="7D915FB6"/>
    <w:rsid w:val="FF7F64C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Plain Text"/>
    <w:basedOn w:val="1"/>
    <w:unhideWhenUsed/>
    <w:qFormat/>
    <w:uiPriority w:val="0"/>
    <w:pPr>
      <w:spacing w:line="576" w:lineRule="exact"/>
    </w:pPr>
    <w:rPr>
      <w:rFonts w:ascii="宋体" w:hAnsi="Courier New" w:cs="Courier New"/>
      <w:kern w:val="0"/>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FollowedHyperlink"/>
    <w:basedOn w:val="8"/>
    <w:qFormat/>
    <w:uiPriority w:val="0"/>
    <w:rPr>
      <w:color w:val="0033CC"/>
      <w:u w:val="single"/>
    </w:rPr>
  </w:style>
  <w:style w:type="character" w:styleId="11">
    <w:name w:val="Emphasis"/>
    <w:basedOn w:val="8"/>
    <w:qFormat/>
    <w:uiPriority w:val="0"/>
  </w:style>
  <w:style w:type="character" w:styleId="12">
    <w:name w:val="HTML Definition"/>
    <w:basedOn w:val="8"/>
    <w:qFormat/>
    <w:uiPriority w:val="0"/>
  </w:style>
  <w:style w:type="character" w:styleId="13">
    <w:name w:val="HTML Variable"/>
    <w:basedOn w:val="8"/>
    <w:qFormat/>
    <w:uiPriority w:val="0"/>
  </w:style>
  <w:style w:type="character" w:styleId="14">
    <w:name w:val="Hyperlink"/>
    <w:basedOn w:val="8"/>
    <w:qFormat/>
    <w:uiPriority w:val="0"/>
    <w:rPr>
      <w:color w:val="0033CC"/>
      <w:u w:val="single"/>
    </w:rPr>
  </w:style>
  <w:style w:type="character" w:styleId="15">
    <w:name w:val="HTML Code"/>
    <w:basedOn w:val="8"/>
    <w:qFormat/>
    <w:uiPriority w:val="0"/>
    <w:rPr>
      <w:rFonts w:hint="default" w:ascii="Arial" w:hAnsi="Arial" w:cs="Arial"/>
      <w:sz w:val="20"/>
    </w:rPr>
  </w:style>
  <w:style w:type="character" w:styleId="16">
    <w:name w:val="HTML Cite"/>
    <w:basedOn w:val="8"/>
    <w:qFormat/>
    <w:uiPriority w:val="0"/>
  </w:style>
  <w:style w:type="character" w:styleId="17">
    <w:name w:val="HTML Keyboard"/>
    <w:basedOn w:val="8"/>
    <w:qFormat/>
    <w:uiPriority w:val="0"/>
    <w:rPr>
      <w:rFonts w:hint="eastAsia" w:ascii="Arial" w:hAnsi="Arial" w:cs="Arial"/>
      <w:sz w:val="20"/>
    </w:rPr>
  </w:style>
  <w:style w:type="character" w:styleId="18">
    <w:name w:val="HTML Sample"/>
    <w:basedOn w:val="8"/>
    <w:qFormat/>
    <w:uiPriority w:val="0"/>
    <w:rPr>
      <w:rFonts w:hint="default" w:ascii="Arial" w:hAnsi="Arial" w:cs="Arial"/>
    </w:rPr>
  </w:style>
  <w:style w:type="character" w:customStyle="1" w:styleId="19">
    <w:name w:val="authorstyle509651"/>
    <w:basedOn w:val="8"/>
    <w:qFormat/>
    <w:uiPriority w:val="0"/>
    <w:rPr>
      <w:sz w:val="18"/>
      <w:szCs w:val="18"/>
    </w:rPr>
  </w:style>
  <w:style w:type="character" w:customStyle="1" w:styleId="20">
    <w:name w:val="info"/>
    <w:basedOn w:val="8"/>
    <w:qFormat/>
    <w:uiPriority w:val="0"/>
    <w:rPr>
      <w:color w:val="AAAAAA"/>
    </w:rPr>
  </w:style>
  <w:style w:type="paragraph" w:customStyle="1" w:styleId="21">
    <w:name w:val="列表段落1"/>
    <w:basedOn w:val="1"/>
    <w:qFormat/>
    <w:uiPriority w:val="34"/>
    <w:pPr>
      <w:ind w:firstLine="420" w:firstLineChars="200"/>
    </w:pPr>
    <w:rPr>
      <w:rFonts w:cs="Times New Roman"/>
      <w:szCs w:val="22"/>
    </w:rPr>
  </w:style>
  <w:style w:type="character" w:customStyle="1" w:styleId="22">
    <w:name w:val="timestyle509651"/>
    <w:basedOn w:val="8"/>
    <w:qFormat/>
    <w:uiPriority w:val="0"/>
    <w:rPr>
      <w:sz w:val="18"/>
      <w:szCs w:val="18"/>
    </w:rPr>
  </w:style>
  <w:style w:type="character" w:customStyle="1" w:styleId="23">
    <w:name w:val="info1"/>
    <w:basedOn w:val="8"/>
    <w:qFormat/>
    <w:uiPriority w:val="0"/>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1707</Words>
  <Characters>1814</Characters>
  <TotalTime>0</TotalTime>
  <ScaleCrop>false</ScaleCrop>
  <LinksUpToDate>false</LinksUpToDate>
  <CharactersWithSpaces>1819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2026-10-09T18:50:00Z</dcterms:created>
  <dc:creator>Lenovo</dc:creator>
  <cp:lastModifiedBy>jjszyslxfzdfcj</cp:lastModifiedBy>
  <cp:lastPrinted>2026-10-15T01:28:53Z</cp:lastPrinted>
  <dcterms:modified xsi:type="dcterms:W3CDTF">2026-10-15T01:28:56Z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eyJoZGlkIjoiZWUwMGI2MzY0ZDViYjc3ZGNhYTA4NjAwNDE5OTliMmUiLCJ1c2VySWQiOiIxNjYyMjA3MDY5In0=</vt:lpwstr>
  </property>
  <property fmtid="{D5CDD505-2E9C-101B-9397-08002B2CF9AE}" pid="3" name="KSOProductBuildVer">
    <vt:lpwstr>2052-12.1.0.28505</vt:lpwstr>
  </property>
  <property fmtid="{D5CDD505-2E9C-101B-9397-08002B2CF9AE}" pid="4" name="ICV">
    <vt:lpwstr>EC11562599434B149DEA825DE5514D46_12</vt:lpwstr>
  </property>
</Properties>
</file>